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6B" w:rsidRDefault="00885C05">
      <w:pPr>
        <w:pStyle w:val="a3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Міністерство фінансів України</w:t>
      </w:r>
    </w:p>
    <w:p w:rsidR="00BA2B6B" w:rsidRDefault="00BA2B6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BA2B6B" w:rsidRDefault="00BA2B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A2B6B" w:rsidRDefault="00885C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Звіт</w:t>
      </w:r>
    </w:p>
    <w:p w:rsidR="00BA2B6B" w:rsidRDefault="00885C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щодо виконання Угоди про асоціацію між Україною, з однієї сторони, та Європейським Союзом, </w:t>
      </w:r>
    </w:p>
    <w:p w:rsidR="00BA2B6B" w:rsidRDefault="00885C0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Європейським співтовариством з атомної енергії  і їхніми державами-членами, з іншої сторони</w:t>
      </w:r>
    </w:p>
    <w:p w:rsidR="00BA2B6B" w:rsidRDefault="00885C0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 І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квартал 2022 року</w:t>
      </w:r>
    </w:p>
    <w:p w:rsidR="00BA2B6B" w:rsidRDefault="00BA2B6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fb"/>
        <w:tblpPr w:leftFromText="180" w:rightFromText="180" w:vertAnchor="text" w:tblpX="-176" w:tblpY="1"/>
        <w:tblOverlap w:val="never"/>
        <w:tblW w:w="15480" w:type="dxa"/>
        <w:tblLook w:val="04A0" w:firstRow="1" w:lastRow="0" w:firstColumn="1" w:lastColumn="0" w:noHBand="0" w:noVBand="1"/>
      </w:tblPr>
      <w:tblGrid>
        <w:gridCol w:w="3715"/>
        <w:gridCol w:w="4111"/>
        <w:gridCol w:w="7654"/>
      </w:tblGrid>
      <w:tr w:rsidR="00BA2B6B">
        <w:trPr>
          <w:trHeight w:val="570"/>
        </w:trPr>
        <w:tc>
          <w:tcPr>
            <w:tcW w:w="3715" w:type="dxa"/>
            <w:vAlign w:val="center"/>
          </w:tcPr>
          <w:p w:rsidR="00BA2B6B" w:rsidRDefault="00885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4111" w:type="dxa"/>
            <w:vAlign w:val="center"/>
          </w:tcPr>
          <w:p w:rsidR="00BA2B6B" w:rsidRDefault="00885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7654" w:type="dxa"/>
            <w:vAlign w:val="center"/>
          </w:tcPr>
          <w:p w:rsidR="00BA2B6B" w:rsidRDefault="00885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Прогрес виконання заходу у звітному періоді</w:t>
            </w:r>
          </w:p>
        </w:tc>
      </w:tr>
      <w:tr w:rsidR="00BA2B6B">
        <w:trPr>
          <w:trHeight w:val="343"/>
        </w:trPr>
        <w:tc>
          <w:tcPr>
            <w:tcW w:w="15480" w:type="dxa"/>
            <w:gridSpan w:val="3"/>
            <w:shd w:val="clear" w:color="auto" w:fill="B8CCE4" w:themeFill="accent1" w:themeFillTint="66"/>
          </w:tcPr>
          <w:p w:rsidR="00BA2B6B" w:rsidRDefault="00885C05">
            <w:pPr>
              <w:pStyle w:val="a3"/>
              <w:ind w:firstLine="4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Митні питання 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476, 480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483, 485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-487, 489-493, 496-501, 503-506, 508-513, 515-516, 518-533, 536-544, 546-551, 553 щодо імплементації Регламенту (ЄС) 450/2008 </w:t>
            </w:r>
            <w:r>
              <w:rPr>
                <w:rFonts w:ascii="Times New Roman" w:hAnsi="Times New Roman"/>
                <w:sz w:val="24"/>
                <w:szCs w:val="24"/>
              </w:rPr>
              <w:t>(скасований та замінений Регламентом (ЄС) 952/2013)</w:t>
            </w: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законопроекту про внесення змін до Митного кодексу України щодо завдань митних органів</w:t>
            </w:r>
          </w:p>
        </w:tc>
        <w:tc>
          <w:tcPr>
            <w:tcW w:w="7654" w:type="dxa"/>
            <w:vMerge w:val="restart"/>
          </w:tcPr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Робота над адаптацією положень Митно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кодексу України у відповідність до законодавства ЄС триває. 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сьогодні Верховною Радою України прийнято Закон України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від 15.08.2022 № 2510-IX “Про внесення змін до Митного кодексу України та інших законів України щодо деяких питань виконання глави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розділу IV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сторони”.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Розпорядженням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Кабінету Міністрів України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від 08.10.2022.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№ 896-р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схвалено проект Рішення Комітету асоціації Україна - ЄС у торговельному складі про внесення змін до Додатка XV (Наближення митного законодавства) до Глави 5 Угоди про асоціацію між Україною, з однієї сторони, та Європейським Союзом, Європейським співтовар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иством з атомної енергії і їхніми державами-членами, з іншої сторони.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Додаток  XV оновлено відповідно </w:t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РІШЕННЯ № 1/2022 Комітету Асоціації Україна - ЄС у торговельному складі щодо оновлення Додатка XV (Наближення митного законодавства) до Угоди про асоці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ацію між Україною, з однієї сторони, та Європейським Союзом, Європейським співтовариством з атомної енергії і їхніми державами-членами, з іншої сторони від 25 жовтня 2022 року.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Наразі Мінфіном,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разом із Держмитслужбою та експертами програми ЄС “EU4PFM”,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метою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наближення митного законодавства України до митного законодавства ЄС згідно з оновленим Додатком XV ведуться роботи щодо розробки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проекту Закону України “Про внесення змін до Митного кодексу України щодо забезпечення виконання Україною міжнародно-пр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авових зобов’язань у сфері європейської інтеграції”.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  <w:vMerge/>
          </w:tcPr>
          <w:p w:rsidR="00BA2B6B" w:rsidRDefault="00BA2B6B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  <w:vMerge/>
          </w:tcPr>
          <w:p w:rsidR="00BA2B6B" w:rsidRDefault="00BA2B6B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B6B">
        <w:trPr>
          <w:trHeight w:val="576"/>
        </w:trPr>
        <w:tc>
          <w:tcPr>
            <w:tcW w:w="3715" w:type="dxa"/>
            <w:vMerge w:val="restart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488. Законодавче закріплення правил щодо визначення непреференційного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походження товарів для застосування митних процедур</w:t>
            </w: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1)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 Виконано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Мінфіном разом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із Держмитслужбою розроблено проект Закону України «Про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Союзу». 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07.04.2021 законопроект схвалено на засід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анні Уряду України та внесено на розгляд Верховної Ради України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B6B">
        <w:trPr>
          <w:trHeight w:val="491"/>
        </w:trPr>
        <w:tc>
          <w:tcPr>
            <w:tcW w:w="3715" w:type="dxa"/>
            <w:vMerge/>
          </w:tcPr>
          <w:p w:rsidR="00BA2B6B" w:rsidRDefault="00BA2B6B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Виконано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Законопроект опрацьовано з експертами ЄС в рамках програми ЄС "Підтримка державного управління фінансами для України - EU4PFM"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B6B">
        <w:trPr>
          <w:trHeight w:val="826"/>
        </w:trPr>
        <w:tc>
          <w:tcPr>
            <w:tcW w:w="3715" w:type="dxa"/>
            <w:vMerge/>
          </w:tcPr>
          <w:p w:rsidR="00BA2B6B" w:rsidRDefault="00BA2B6B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3) забезпечення супроводження розгляду Верховною Радою України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Виконується.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Законопроект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зареєстровано у Верховній Раді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08.04.2021 за № 5353.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 законопроект було розглянуто на засіданні Комітету ВРУ з питань інтеграції України до Європейського Союзу.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його розгляду Комітетом було визначено, що  положення  проект</w:t>
            </w:r>
            <w:r>
              <w:rPr>
                <w:rFonts w:ascii="Times New Roman" w:hAnsi="Times New Roman"/>
                <w:sz w:val="24"/>
                <w:szCs w:val="24"/>
              </w:rPr>
              <w:t>у Закону № 5353 не суперечать міжнародно-правовим зобов’язанням України у сфері європейської інтеграції, водночас запропоновані в законопроекті зміни до статті 38 Митного кодексу України потребують доопрацювання з метою приведення у відповідність з положен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нями Делегованого Регламенту Комісії (ЄС) 2015/2446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567 – 570, 572, 573, 577 – 582, 585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імплементації  Регламенту Ради (ЄС) № 1186/2009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від 16 листопада 2009 року про встановлення у Співтоваристві системи звільнень від мита</w:t>
            </w: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>розроблення та подання на розгляд Кабінету Міністрів України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законопроекту про внесення змін до Митного кодексу України щодо звільнення від сплати ввізного мита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Виконано.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04 по 14 серпня 2020 року експертами проекту EU4PFM було проведено дистанційний </w:t>
            </w:r>
            <w:r>
              <w:rPr>
                <w:rFonts w:ascii="Times New Roman" w:hAnsi="Times New Roman"/>
                <w:sz w:val="24"/>
                <w:szCs w:val="24"/>
              </w:rPr>
              <w:t>семінар “Порівняльний аналіз митного законодавства України з відповідними положеннями митного законодавства ЄС щодо звільнення від сплати митних платежів” для представників Держмитслужби та Мінфіну.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семінару міжнародними експертами було представлен</w:t>
            </w:r>
            <w:r>
              <w:rPr>
                <w:rFonts w:ascii="Times New Roman" w:hAnsi="Times New Roman"/>
                <w:sz w:val="24"/>
                <w:szCs w:val="24"/>
              </w:rPr>
              <w:t>о порівняльний аналіз положень Митного кодексу України та Регламенту Ради (ЄС) № 1186/2009 від 16 листопада 2009 року про встановлення у Співтоваристві системи звільнень від мита та надано рекомендації до законопроекту.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Мінфіном у співпраці з експертами пр</w:t>
            </w:r>
            <w:r>
              <w:rPr>
                <w:rFonts w:ascii="Times New Roman" w:hAnsi="Times New Roman"/>
                <w:sz w:val="24"/>
                <w:szCs w:val="24"/>
              </w:rPr>
              <w:t>ограми EU4PFM підготовлено проект Закону України  «Про внесення змін до Митного кодексу України щодо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— ч</w:t>
            </w:r>
            <w:r>
              <w:rPr>
                <w:rFonts w:ascii="Times New Roman" w:hAnsi="Times New Roman"/>
                <w:sz w:val="24"/>
                <w:szCs w:val="24"/>
              </w:rPr>
              <w:t>ленами, з іншої сторони, в частині звільнення від сплати ввізного мита».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09.06.2021 законопроект схвалено на засіданні Уряду України та внесено на розгляд Верховної Ради України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Законопроект розроблено у співпраці з експертами ЄС в рамках програми ЄС "Підтримка державного управління фінансами для України - EU4PFM"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Законопроек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 зареєстровано у Верховній Раді України 20.07.2021 за № 5810.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Законопроект розглядається в комітетах ВРУ.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 законопроект було розглянуто на засіданні Комітету ВРУ з питань інтеграції України до Європейського Союзу.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його розгляду К</w:t>
            </w:r>
            <w:r>
              <w:rPr>
                <w:rFonts w:ascii="Times New Roman" w:hAnsi="Times New Roman"/>
                <w:sz w:val="24"/>
                <w:szCs w:val="24"/>
              </w:rPr>
              <w:t>омітетом було визначено, що  положення  проекту Закону № 5810 не суперечить міжнародно-правовим зобов’язанням України в сфері європейської інтеграції, водночас окремі його положення потребують доопрацювання з метою повного врахування норм Регламенту Ради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ЄС) № 1186/2009 від 16.11.2009 року про створення спільної системи звільнення від мита, передбачених Угодою про асоціацію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576. Закріплення правил звільнення від сплати мита товарів, що перебувають у ручному багажі подорожуючих</w:t>
            </w: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1) розроблення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товарів, що перебувають у ручному багажі подорожуючих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04 по 14 серпня 2020 року експертами </w:t>
            </w:r>
            <w:r>
              <w:rPr>
                <w:rFonts w:ascii="Times New Roman" w:hAnsi="Times New Roman"/>
                <w:sz w:val="24"/>
                <w:szCs w:val="24"/>
              </w:rPr>
              <w:t>проекту EU4PFM було проведено дистанційний семінар “Порівняльний аналіз митного законодавства України з відповідними положеннями митного законодавства ЄС щодо звільнення від сплати митних платежів” для представників Держмитслужби та Мінфіну.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семіна</w:t>
            </w:r>
            <w:r>
              <w:rPr>
                <w:rFonts w:ascii="Times New Roman" w:hAnsi="Times New Roman"/>
                <w:sz w:val="24"/>
                <w:szCs w:val="24"/>
              </w:rPr>
              <w:t>ру міжнародними експертами було представлено порівняльний аналіз положень Митного кодексу України та Регламенту Ради (ЄС) № 1186/2009 від 16 листопада 2009 року про встановлення у Співтоваристві системи звільнень від мита та надано рекомендації до законопр</w:t>
            </w:r>
            <w:r>
              <w:rPr>
                <w:rFonts w:ascii="Times New Roman" w:hAnsi="Times New Roman"/>
                <w:sz w:val="24"/>
                <w:szCs w:val="24"/>
              </w:rPr>
              <w:t>оекту.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Мінфіном у співпраці з експертами програми EU4PFM підготовлено законопроект «Про внесення змін до Митного кодексу України щодо виконання Угоди про асоціацію між Україною, з однієї сторони, та Європейським Союзом, Європейським співтовариством з атомн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енергії і їхніми державами – членами, з іншої сторони, в частині звільнення від сплати ввізного мита», який 15.04.2021 було надіслано СКМУ для внесення на розгляд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Уряду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(лист Мінфіну від 15.04.2021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34020-02-3/12277).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09.06.2021 законопроект с</w:t>
            </w:r>
            <w:r>
              <w:rPr>
                <w:rFonts w:ascii="Times New Roman" w:hAnsi="Times New Roman"/>
                <w:sz w:val="24"/>
                <w:szCs w:val="24"/>
              </w:rPr>
              <w:t>хвалено на засіданні Уряду України та внесено на розгляд Верховної Ради України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 З метою імплементації до законодавства України положень Регламенту Ради (ЄС) № 1186/2009, що встановлює систему Співтовариства для звільнення від сплати мит, Директиви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2007/74/ЄС про звільнення від податку на додану вартість і акцизів на товари, що ввозяться особами, які подорожують з третіх країн, а також окремих положень статті 143 Директиви 2006/112/ЄС щодо звільнення від податку на додану вартість при остаточному </w:t>
            </w:r>
            <w:r>
              <w:rPr>
                <w:rFonts w:ascii="Times New Roman" w:hAnsi="Times New Roman"/>
                <w:sz w:val="24"/>
                <w:szCs w:val="24"/>
              </w:rPr>
              <w:t>імпорті окремих товарів Мінфіном розроблено проект Закону України «Про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товарів».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Проектом Закону передб</w:t>
            </w:r>
            <w:r>
              <w:rPr>
                <w:rFonts w:ascii="Times New Roman" w:hAnsi="Times New Roman"/>
                <w:sz w:val="24"/>
                <w:szCs w:val="24"/>
              </w:rPr>
              <w:t>ачено внести зміни до статей 191, 196 Податкового кодексу України стосовно встановлення вартісної межі щодо ввезення громадянами товарів без оподаткування ПДВ у ручній поклажі та/або у супроводжуваному багажі на рівні 430 євро через пункти пропуску, відкри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ті для повітряного і морського сполучення, та на рівні 300 євро – через інші пункти пропуску, а також стосовно виключення положень, які передбачають, що не є об’єктом оподаткування ПДВ операції з ввезення товарів, вартість яких не перевищує еквівалент 150 </w:t>
            </w:r>
            <w:r>
              <w:rPr>
                <w:rFonts w:ascii="Times New Roman" w:hAnsi="Times New Roman"/>
                <w:sz w:val="24"/>
                <w:szCs w:val="24"/>
              </w:rPr>
              <w:t>євро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Законопроект пов’язаний із проектом Закону України «Про внесення змін до Митного кодексу України щодо виконання Угоди про асоціацію між Україною, з однієї сторони, та Європейським Союзом, Європейським співтовариством з атомної енергії і їхніми </w:t>
            </w:r>
            <w:r>
              <w:rPr>
                <w:rFonts w:ascii="Times New Roman" w:hAnsi="Times New Roman"/>
                <w:sz w:val="24"/>
                <w:szCs w:val="24"/>
              </w:rPr>
              <w:t>державами-членами, з іншої сторони, в частині звільнення від сплати ввізного мита».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Законопроекти розроблено у співпраці з експертами ЄС в рамках програми ЄС "Підтримка державного управління фінан</w:t>
            </w:r>
            <w:r>
              <w:rPr>
                <w:rFonts w:ascii="Times New Roman" w:hAnsi="Times New Roman"/>
                <w:sz w:val="24"/>
                <w:szCs w:val="24"/>
              </w:rPr>
              <w:t>сами для України - EU4PFM"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  <w:tcBorders>
              <w:bottom w:val="single" w:sz="4" w:space="0" w:color="auto"/>
            </w:tcBorders>
          </w:tcPr>
          <w:p w:rsidR="00BA2B6B" w:rsidRDefault="00BA2B6B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1) Законопроект </w:t>
            </w:r>
            <w:r>
              <w:rPr>
                <w:rFonts w:ascii="Times New Roman" w:hAnsi="Times New Roman"/>
                <w:sz w:val="24"/>
                <w:szCs w:val="24"/>
              </w:rPr>
              <w:t>«Про внесення змін до Митного кодексу України щодо виконання Угоди про асоціацію між Україною, з однієї ст</w:t>
            </w:r>
            <w:r>
              <w:rPr>
                <w:rFonts w:ascii="Times New Roman" w:hAnsi="Times New Roman"/>
                <w:sz w:val="24"/>
                <w:szCs w:val="24"/>
              </w:rPr>
              <w:t>орони, та Європейським Союзом, Європейським співтовариством з атомної енергії і їхніми державами – членами, з іншої сторони, в частині звільнення від сплати ввізного мита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» зареєстровано у Верховній Раді України 20.07.2021 за № 5810.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Законопроект розглядаєт</w:t>
            </w:r>
            <w:r>
              <w:rPr>
                <w:rFonts w:ascii="Times New Roman" w:hAnsi="Times New Roman"/>
                <w:sz w:val="24"/>
                <w:szCs w:val="24"/>
              </w:rPr>
              <w:t>ься в комітетах ВРУ.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 законопроект було розглянуто на засіданні Комітету ВРУ з питань інтеграції України до Європейського Союзу.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 результатами його розгляду Комітетом було визначено, що  положення  проекту Закону № 5810 не суперечить міжнародно-правовим зобов’язанням України в сфері європейської інтеграції, водночас окремі його положення потребують доопрацювання з метою повного вр</w:t>
            </w:r>
            <w:r>
              <w:rPr>
                <w:rFonts w:ascii="Times New Roman" w:hAnsi="Times New Roman"/>
                <w:sz w:val="24"/>
                <w:szCs w:val="24"/>
              </w:rPr>
              <w:t>ахування норм Регламенту Ради (ЄС) № 1186/2009 від 16.11.2009 року про створення спільної системи звільнення від мита, передбачених Угодою про асоціацію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A2B6B" w:rsidRDefault="00885C05">
            <w:pPr>
              <w:tabs>
                <w:tab w:val="left" w:pos="851"/>
              </w:tabs>
              <w:ind w:firstLine="4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02.12.2022 законопроект «Про внесення змін до Податкового кодексу України щодо особливостей оподатк</w:t>
            </w:r>
            <w:r>
              <w:rPr>
                <w:rFonts w:ascii="Times New Roman" w:hAnsi="Times New Roman"/>
                <w:sz w:val="24"/>
                <w:szCs w:val="24"/>
              </w:rPr>
              <w:t>ування податком на додану вартість операцій із ввезення на митну територію України товарів» подано на розгляд Кабінету Міністрів України.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результатами розгляду законопроекту 19.12.2022 на засіданні Урядового комітету з питань економічної, фінансової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політики, паливно-енергетичного комплексу, стратегічних галузей промисловості, розвитку громад і територій та інфраструктури вирішено подати законопроект для розгляду на засіданні Уряду.</w:t>
            </w:r>
          </w:p>
        </w:tc>
      </w:tr>
      <w:tr w:rsidR="00BA2B6B">
        <w:trPr>
          <w:trHeight w:val="346"/>
        </w:trPr>
        <w:tc>
          <w:tcPr>
            <w:tcW w:w="15480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BA2B6B" w:rsidRDefault="00885C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Оподаткування</w:t>
            </w:r>
          </w:p>
        </w:tc>
      </w:tr>
      <w:tr w:rsidR="00BA2B6B">
        <w:tc>
          <w:tcPr>
            <w:tcW w:w="3715" w:type="dxa"/>
            <w:vMerge w:val="restart"/>
            <w:tcBorders>
              <w:top w:val="single" w:sz="4" w:space="0" w:color="auto"/>
            </w:tcBorders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1464-1468. Щодо імплементації  окремих положень Директиви Ради № 2011/64/ЄС від 21 червня 2011 року про структуру та ставки акцизного збору на тютюнові вироби (за виключенням статей 7(2), 8, 9, 10, 11, 12, 14(1), 14(2), 14(4), 18 та 19), </w:t>
            </w:r>
          </w:p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підготовка по</w:t>
            </w:r>
            <w:r>
              <w:rPr>
                <w:rFonts w:ascii="Times New Roman" w:hAnsi="Times New Roman"/>
                <w:sz w:val="24"/>
                <w:szCs w:val="24"/>
              </w:rPr>
              <w:t>рівняльної таблиці щодо відповідності національного законодавства відповідним положенням директив ЄС з питань акцизного податку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 Виконано.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Мінфіном листом від 17.10.2016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31-11160-03-3/29079 прозвітовано Кабінету Міністрів України про врахування вказан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положень Директив у чинній редакції розділу VI «Акцизний податок» Податкового кодексу України та наказі ДФС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від 09.06.2015  № 401 «Про затвердження Пояснень до Української класифікації товарів зовнішньоекономічної діяльності» (у вигляді порівняльних таб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лиць).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Перекладені на англійську мову порівняльні таблиці листом Мінфіну від 31.01.2018 № 11020-05-3/2677 було надіслано  </w:t>
            </w:r>
            <w:r>
              <w:rPr>
                <w:rFonts w:ascii="Times New Roman" w:hAnsi="Times New Roman"/>
                <w:sz w:val="24"/>
                <w:szCs w:val="24"/>
              </w:rPr>
              <w:t>Урядовому офісу координації європейської та євроатлантичної інтеграції СКМУ для передачі Стороні ЄС з метою отримання  від  Європейськ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сторони оцінки щодо виконання Українською стороною зобов’язань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порівняльної таблиці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21.02.2019 Мінфіном отримано повідомлення від Урядового офісу щодо направлення вказаних таблиць Стороні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/>
                <w:sz w:val="24"/>
                <w:szCs w:val="24"/>
              </w:rPr>
              <w:t>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ЄС, що відбувся 14 березня 2019 року у м. Брюссель, Королівство Бельгія,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доручення КМУ від 28.12.2019 № 48409/0/1-19) Сторона ЄС до кінця вересня 2019 року повинна була надати Українській стороні оцінку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виконання Україною зобов’язань з приведення національного податкового законодавства у відповідність із положеннями Директиви 2</w:t>
            </w:r>
            <w:r>
              <w:rPr>
                <w:rFonts w:ascii="Times New Roman" w:hAnsi="Times New Roman"/>
                <w:sz w:val="24"/>
                <w:szCs w:val="24"/>
              </w:rPr>
              <w:t>011/64/ЄC щодо структури та ставок акцизного збору, що застосовуються до тютюнових виробів.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06.02.2020 до Представництва ЄС (електронною поштою) повторно направлено запит щодо необхідності отримання висновку (оцінки)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 під час П’ятого засіданн</w:t>
            </w:r>
            <w:r>
              <w:rPr>
                <w:rFonts w:ascii="Times New Roman" w:hAnsi="Times New Roman"/>
                <w:sz w:val="24"/>
                <w:szCs w:val="24"/>
              </w:rPr>
              <w:t>я Кластера 2 Сторону ЄС повторно повідомлено про необхідність отримання висновку.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 у Мінфіні відбулася зустріч за участі заступника Міністра фінансів України Світлани Воробей з представниками проекту “EU4PFM” та Представництва ЄС в Україні,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під 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 якої було обговорено поточний стан виконання Угоди про асоціацію між Україною та ЄС у сфері оподаткування, проблемні питання співпраці зі Стороною ЄС та шляхи їх вирішення.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29.10.2021 Мінфін листом № 44040-08-10/33081 звернувся до DG TAXUD із проханням </w:t>
            </w:r>
            <w:r>
              <w:rPr>
                <w:rFonts w:ascii="Times New Roman" w:hAnsi="Times New Roman"/>
                <w:sz w:val="24"/>
                <w:szCs w:val="24"/>
              </w:rPr>
              <w:t>надати офіційні висновки на попередні запити.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 під час проведення 7-го засідання Комітету асоціації між Україною та ЄС було зазначено про необхідність отримання висновків від Сторони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25.05.2022 та 26.07.2022 було проведено експертну зустріч з представником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PFM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повторно повідомлено про очікування результатів оцінки Сторони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 за результатами наради під головуванням Віце-прем’єр-міністра з питань європейської та євроатлантичної інтеграції України Стефанішиної О. В. із заступниками міністрів, до сфери відповідальності яких належить питання європейської інтеграції, щодо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підготовки проектів законодавчих та нормативно-правових актів, передбачених переліком актів права ЄС, які необхідно імплементувати відповідно до плану заходів з виконання Угоди про асоціацію від 01.08.2022 (реєстр. № 20573/0/1-22 від 04.08.2022) Мінфін оф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іційним листом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(№ 25010-11-3/17291) повторно надіслав Урядовому офісу координації європейської та євроатлантичної інтеграції СКМУ порівняльні таблиці щодо імплементації Директиви 2011/64/ЄС для передачі Стороні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пропозицією Мінфіну до директив делег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ації України для участі у Восьмому засіданні Ради асоціації між Україною та ЄС, яке відбулося 05.09.2022, було включено положення щодо необхідності одержання від Сторони ЄС інформації щодо часових рамок надання Українській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Стороні результатів оцінки імплем</w:t>
            </w:r>
            <w:r>
              <w:rPr>
                <w:rFonts w:ascii="Times New Roman" w:hAnsi="Times New Roman"/>
                <w:sz w:val="24"/>
                <w:szCs w:val="24"/>
              </w:rPr>
              <w:t>ентації у національне законодавство Директиви Ради № 2011/64/ЄС.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13.10.2022 оновлено та направлено Стороні ЄС (через Представництво України при ЄС) порівняльні таблиці щодо Директиви 2011/64 в частині визначення тютюнових виробів. 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03.11.2022 отримано коме</w:t>
            </w:r>
            <w:r>
              <w:rPr>
                <w:rFonts w:ascii="Times New Roman" w:hAnsi="Times New Roman"/>
                <w:sz w:val="24"/>
                <w:szCs w:val="24"/>
              </w:rPr>
              <w:t>нтарі від Сторони ЄС (через Представництво України при ЄС) до вказаної порівняльної таблиці.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15.11.2022 направлено Стороні ЄС (через Представництво України при ЄС, в копії EU4PFM та Представництво ЄС в Україні) роз’яснення до коментарів ЄС від 03.11.2022. </w:t>
            </w:r>
          </w:p>
          <w:p w:rsidR="00BA2B6B" w:rsidRDefault="00885C05">
            <w:pPr>
              <w:ind w:firstLine="3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Представництво України при ЄС листом від 20.12.2022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3111/14-230-105276 поінформувало Мінфін про те, що 09.12.2022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DG TAXUD повідомив Представництво України при ЄС про те, що доопрацьовані Мінфіном порівняльні таблиці на основі чинного законодавства із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відповідними коментарями щодо Директиви 2011/64 відповідають на поставлені запитання ЄС, 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 обговорення імплементації положень Угоди про асоціацію між Україною та ЄС в частині акцизних податків на тютюнові вироби можна вважати закритим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розр</w:t>
            </w:r>
            <w:r>
              <w:rPr>
                <w:rFonts w:ascii="Times New Roman" w:hAnsi="Times New Roman"/>
                <w:sz w:val="24"/>
                <w:szCs w:val="24"/>
              </w:rPr>
              <w:t>облення, подання на розгляд Кабінету Міністрів України та забезпечення супроводження розгляду Верховною Радою України відповідного законопроекту (за результатами аналізу порівняльної таблиці та за необхідності)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За інформацією DG TAXUD (лист Пр</w:t>
            </w:r>
            <w:r>
              <w:rPr>
                <w:rFonts w:ascii="Times New Roman" w:hAnsi="Times New Roman"/>
                <w:sz w:val="24"/>
                <w:szCs w:val="24"/>
              </w:rPr>
              <w:t>едставництва України при ЄС від 20.12.2022 № 3111/14-230-105276), надані Мінфіном порівняльні таблиці на основі чинного законодавства із відповідними коментарями щодо Директиви 2011/64, відповідають на поставлені запитання ЄС в контексті імплементації Угод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 асоціацію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частині акцизних податків на тютюнові вироби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Зважаючи на викладене, наразі немає необхідності вносити зміни до національного законодавства щодо акцизного податку на тютюнові вироби.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1469. Встановлення положення щодо осіб, які </w:t>
            </w:r>
            <w:r>
              <w:rPr>
                <w:rFonts w:ascii="Times New Roman" w:hAnsi="Times New Roman"/>
                <w:sz w:val="24"/>
                <w:szCs w:val="24"/>
              </w:rPr>
              <w:t>подорожують, про звільнення від сплати податку на додану вартість і акцизного податку на імпорт тютюнових виробів згідно з кількісними обмеженнями</w:t>
            </w:r>
          </w:p>
        </w:tc>
        <w:tc>
          <w:tcPr>
            <w:tcW w:w="4111" w:type="dxa"/>
            <w:shd w:val="clear" w:color="auto" w:fill="auto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законопроекту про внесення змін до Митного ко</w:t>
            </w:r>
            <w:r>
              <w:rPr>
                <w:rFonts w:ascii="Times New Roman" w:hAnsi="Times New Roman"/>
                <w:sz w:val="24"/>
                <w:szCs w:val="24"/>
              </w:rPr>
              <w:t>дексу України стосовно встановлення кількісних обмежень на ввезення тютюнових виробів без сплати податку на додану вартість та акцизного податку</w:t>
            </w:r>
          </w:p>
        </w:tc>
        <w:tc>
          <w:tcPr>
            <w:tcW w:w="7654" w:type="dxa"/>
            <w:shd w:val="clear" w:color="auto" w:fill="auto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З 04 по 14 серпня 2020 року експертами проекту EU4PFM було проведено дистанційний семінар “Порівня</w:t>
            </w:r>
            <w:r>
              <w:rPr>
                <w:rFonts w:ascii="Times New Roman" w:hAnsi="Times New Roman"/>
                <w:sz w:val="24"/>
                <w:szCs w:val="24"/>
              </w:rPr>
              <w:t>льний аналіз митного законодавства України з відповідними положеннями митного законодавства ЄС щодо звільнення від сплати митних платежів” для представників Держмитслужби та Мінфіну.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семінару міжнародними експертами було представлено порівняльний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наліз положень Митного кодексу України та Регламенту Ради (ЄС) № 1186/2009 від 16 листопада 2009 року про встановлення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Співтоваристві системи звільнень від мита та надано рекомендації до законопроекту.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Мінфіном у співпраці з експертами програми EU4PFM пі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дготовлено проект Закону України  «Про внесення змін до Митного кодексу України щодо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— членами, з іншої </w:t>
            </w:r>
            <w:r>
              <w:rPr>
                <w:rFonts w:ascii="Times New Roman" w:hAnsi="Times New Roman"/>
                <w:sz w:val="24"/>
                <w:szCs w:val="24"/>
              </w:rPr>
              <w:t>сторони, в частині звільнення від сплати ввізного мита».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09.06.2021 законопроект схвалено на засіданні Уряду України та надано на розгляд ВРУ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  <w:shd w:val="clear" w:color="auto" w:fill="auto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Законопроект розроблено у співпраці з </w:t>
            </w:r>
            <w:r>
              <w:rPr>
                <w:rFonts w:ascii="Times New Roman" w:hAnsi="Times New Roman"/>
                <w:sz w:val="24"/>
                <w:szCs w:val="24"/>
              </w:rPr>
              <w:t>експертами ЄС в рамках програми ЄС "Підтримка державного управління фінансами для України - EU4PFM"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  <w:shd w:val="clear" w:color="auto" w:fill="auto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Законопроект зареєстровано у Верховній Раді Украї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ни 20.07.2021 за № 5810.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Законопроект розглядається в комітетах ВРУ.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 законопроект було розглянуто на засіданні Комітету ВРУ з питань інтеграції України до Європейського Союзу.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його розгляду Комітетом було визначено, що  положення  проекту Закону № 5810 не суперечить міжнародно-правовим зобов’язанням України в сфері європейської інтеграції, водночас окремі його положення потребують доопрацювання з метою повного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ахування норм Регламенту Ради (ЄС) № 1186/2009 від 16.11.2009 року про створення спільної системи звільнення від мита, передбачених Угодою про асоціацію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1470. Встановлення положення щодо осіб, які подорожують, про звільнення від сплати податку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додану вартість і акцизного податку на алкоголь та алкогольні напої, інші, ніж неігристе вино та пиво при дотримані кількісних обмежень</w:t>
            </w: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законопроекту про внесення змін до Митного кодексу У</w:t>
            </w:r>
            <w:r>
              <w:rPr>
                <w:rFonts w:ascii="Times New Roman" w:hAnsi="Times New Roman"/>
                <w:sz w:val="24"/>
                <w:szCs w:val="24"/>
              </w:rPr>
              <w:t>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</w:t>
            </w:r>
          </w:p>
        </w:tc>
        <w:tc>
          <w:tcPr>
            <w:tcW w:w="7654" w:type="dxa"/>
            <w:shd w:val="clear" w:color="auto" w:fill="auto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Виконано.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04 по 14 серпня 2020 року експертами проекту EU4PFM було проведено дистанційний семінар </w:t>
            </w:r>
            <w:r>
              <w:rPr>
                <w:rFonts w:ascii="Times New Roman" w:hAnsi="Times New Roman"/>
                <w:sz w:val="24"/>
                <w:szCs w:val="24"/>
              </w:rPr>
              <w:t>“Порівняльний аналіз митного законодавства України з відповідними положеннями митного законодавства ЄС щодо звільнення від сплати митних платежів” для представників Держмитслужби та Мінфіну.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семінару міжнародними експертами було представлено порівн</w:t>
            </w:r>
            <w:r>
              <w:rPr>
                <w:rFonts w:ascii="Times New Roman" w:hAnsi="Times New Roman"/>
                <w:sz w:val="24"/>
                <w:szCs w:val="24"/>
              </w:rPr>
              <w:t>яльний аналіз положень Митного кодексу України та Регламенту Ради (ЄС) № 1186/2009 від 16 листопада 2009 року про встановлення у Співтоваристві системи звільнень від мита та надано рекомендації до законопроекту.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Мінфіном у співпраці з експертами програми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U4PFM підготовлено проект Закону України  «Про внесення змін до Митного кодексу України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щодо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— членами, </w:t>
            </w:r>
            <w:r>
              <w:rPr>
                <w:rFonts w:ascii="Times New Roman" w:hAnsi="Times New Roman"/>
                <w:sz w:val="24"/>
                <w:szCs w:val="24"/>
              </w:rPr>
              <w:t>з іншої сторони, в частині звільнення від сплати ввізного мита».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09.06.2021 законопроект схвалено на засіданні Уряду України та надано на розгляд ВРУ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Законопроект розроблено у співпрац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з експертами ЄС в рамках програми ЄС "Підтримка державного управління фінансами для України - EU4PFM"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Законопроект зареєстровано у Верховній Раді України 20.07.2021 за № 5810.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Законопроект розглядається в комітетах ВРУ.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 законопроект було розглянуто на засіданні Комітету ВРУ з питань інтеграції України до Європейського Союзу.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йог</w:t>
            </w:r>
            <w:r>
              <w:rPr>
                <w:rFonts w:ascii="Times New Roman" w:hAnsi="Times New Roman"/>
                <w:sz w:val="24"/>
                <w:szCs w:val="24"/>
              </w:rPr>
              <w:t>о розгляду Комітетом було визначено, що  положення  проекту Закону № 5810 не суперечить міжнародно-правовим зобов’язанням України в сфері європейської інтеграції, водночас окремі його положення потребують доопрацювання з метою повного врахування норм Регла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менту Ради (ЄС) № 1186/2009 від 16.11.2009 року про створення спільної системи звільнення від мита, передбачених Угодою про асоціацію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rPr>
          <w:trHeight w:val="576"/>
        </w:trPr>
        <w:tc>
          <w:tcPr>
            <w:tcW w:w="3715" w:type="dxa"/>
            <w:vMerge w:val="restart"/>
            <w:shd w:val="clear" w:color="auto" w:fill="auto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1471. Встановлення положення щодо осіб, які подорожують, про звільнення від сплати податку на додану вартість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акцизного податку на паливо, що міститься у стандартному баку автотранспортного засобу, але не більше 10 літрів у каністрі</w:t>
            </w:r>
          </w:p>
        </w:tc>
        <w:tc>
          <w:tcPr>
            <w:tcW w:w="4111" w:type="dxa"/>
            <w:shd w:val="clear" w:color="auto" w:fill="auto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законопроекту про внесення змін до Митного кодексу України стосов</w:t>
            </w:r>
            <w:r>
              <w:rPr>
                <w:rFonts w:ascii="Times New Roman" w:hAnsi="Times New Roman"/>
                <w:sz w:val="24"/>
                <w:szCs w:val="24"/>
              </w:rPr>
              <w:t>но встановлення кількісних обмежень на ввезення палива без сплати податку на додану вартість та акцизного податку</w:t>
            </w:r>
          </w:p>
        </w:tc>
        <w:tc>
          <w:tcPr>
            <w:tcW w:w="7654" w:type="dxa"/>
            <w:shd w:val="clear" w:color="auto" w:fill="auto"/>
          </w:tcPr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1) Виконано.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Питання частково врегульоване шляхом прийняття Верховною Радою України Митного кодексу України № 4495-IV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від 13.03.2012. Відпові</w:t>
            </w:r>
            <w:r>
              <w:rPr>
                <w:rFonts w:ascii="Times New Roman" w:hAnsi="Times New Roman"/>
                <w:sz w:val="24"/>
                <w:szCs w:val="24"/>
              </w:rPr>
              <w:t>дне положення міститься у 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.2 ст.380 Митного кодексу України.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Відповідно до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.2 ст.380 Митного кодексу України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транспортні засоби особистого користування, що тимчасово ввозяться на митну територію України громадянами-нерезидентами, не підлягають письмовому декларуванню та звільняються від проведення заходів офіційного контролю, а також від подання документів та/аб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відомостей, що підтверджують дотримання встановлених заборон та/або обмежень щодо переміщення транспортних засобів особистого користування через митний кордон України. Пропуск таких транспортних засобів через митний кордон України здійснюється без застос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ування до них заходів гарантування, передбачених розділом Х цього Кодексу. Пальне, що міститься у звичайних (встановлених заводом-виробником) баках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зазначених транспортних засобів, не підлягає письмовому декларуванню та не є об’єктом оподаткування митними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платежами. 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04 по 14 серпня 2020 року експертами проекту EU4PFM було проведено дистанційний семінар “Порівняльний аналіз митного законодавства України з відповідними положеннями митного законодавства ЄС щодо звільнення від сплати митних платежів” для пре</w:t>
            </w:r>
            <w:r>
              <w:rPr>
                <w:rFonts w:ascii="Times New Roman" w:hAnsi="Times New Roman"/>
                <w:sz w:val="24"/>
                <w:szCs w:val="24"/>
              </w:rPr>
              <w:t>дставників Держмитслужби та Мінфіну.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 час семінару міжнародними експертами було представлено порівняльний аналіз положень Митного кодексу України та Регламенту Ради (ЄС) № 1186/2009 від 16 листопада 2009 року про встановлення у Співтоваристві системи зв</w:t>
            </w:r>
            <w:r>
              <w:rPr>
                <w:rFonts w:ascii="Times New Roman" w:hAnsi="Times New Roman"/>
                <w:sz w:val="24"/>
                <w:szCs w:val="24"/>
              </w:rPr>
              <w:t>ільнень від мита та надано рекомендації до законопроекту.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Мінфіном у співпраці з експертами програми EU4PFM підготовлено проект Закону України  «Про внесення змін до Митного кодексу України щодо виконання Угоди про асоціацію між Україною, з однієї сторони,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Європейським Союзом, Європейським співтовариством з атомної енергії і їхніми державами — членами, з іншої сторони, в частині звільнення від сплати ввізного мита».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09.06.2021 законопроект схвалено на засіданні Уряду України та внесено на розгляд Верховн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ої Ради України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Виконано. </w:t>
            </w:r>
            <w:r>
              <w:rPr>
                <w:rFonts w:ascii="Times New Roman" w:hAnsi="Times New Roman"/>
                <w:sz w:val="24"/>
                <w:szCs w:val="24"/>
              </w:rPr>
              <w:t>Законопроект розроблено у співпраці з експертами ЄС в рамках програми ЄС "Підтримка державного управління фінансами для України - EU4PFM"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rPr>
          <w:trHeight w:val="552"/>
        </w:trPr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забезпечення </w:t>
            </w:r>
            <w:r>
              <w:rPr>
                <w:rFonts w:ascii="Times New Roman" w:hAnsi="Times New Roman"/>
                <w:sz w:val="24"/>
                <w:szCs w:val="24"/>
              </w:rPr>
              <w:t>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Виконується.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Законопроект зареєстровано у Верховній Раді України 20.07.2021 за № 5810.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Законопроект розглядається в комітетах ВРУ.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07.10.2021 законопроект було розглянуто на засіданні Комітету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ВРУ з питань інтеграції України до Європейського Союзу.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його розгляду Комітетом було визначено, що  положення  проекту Закону № 5810 не суперечить міжнародно-правовим зобов’язанням України в сфері європейської інтеграції, водночас окремі 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положення потребують доопрацювання з метою повного врахування норм Регламенту Ради (ЄС) № 1186/2009 від 16.11.2009 року про створення спільної системи звільнення від мита, передбачених Угодою про асоціацію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1476-1480, 1489, 1524. Щодо імпле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ментації  окремих положень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Директиви Ради 92/83/ЄЕС  від 19.10.1992 року щодо гармонізації структур акцизних зборів на спирт та алкогольні напої,</w:t>
            </w:r>
          </w:p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Директиви Ради 2008/118/ЄС.</w:t>
            </w: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підготовка порівняльної таблиці щодо відповідності національного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законодавства </w:t>
            </w:r>
            <w:r>
              <w:rPr>
                <w:rFonts w:ascii="Times New Roman" w:hAnsi="Times New Roman"/>
                <w:sz w:val="24"/>
                <w:szCs w:val="24"/>
              </w:rPr>
              <w:t>відповідним положенням директив ЄС з питань акцизного податку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Виконано.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23 листопада 2018 року ВРУ було прийнято Закон України № 2628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внесення змін до Податкового кодексу України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деяких інших законодавчих актів України щодо покращення адміністрування та перегляду ставок окремих податків та зборів» (далі – Закон № 2628), яким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1 березня 2019 року класифікацію виноробної продукції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приведено до вимог Директиви Ради від 19.10.1992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№ 92/83/ЄЕС щодо гармонізації структур акцизних зборів на спирт та алкогольні напої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2B6B" w:rsidRDefault="00885C0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Мінфіном було підготовлено порівняльну таблицю імплементації у національному законодавстві положень </w:t>
            </w:r>
            <w:r>
              <w:rPr>
                <w:rFonts w:ascii="Times New Roman" w:hAnsi="Times New Roman"/>
                <w:sz w:val="24"/>
                <w:szCs w:val="24"/>
              </w:rPr>
              <w:t>Директиви Ради № 92/</w:t>
            </w:r>
            <w:r>
              <w:rPr>
                <w:rFonts w:ascii="Times New Roman" w:hAnsi="Times New Roman"/>
                <w:sz w:val="24"/>
                <w:szCs w:val="24"/>
              </w:rPr>
              <w:t>83/ЄЕС від 19.10.1992 року щодо гармонізації структур акцизних зборів на спирт та алкогольні напої з урахуванням змін, внесених Законом № 2628, та листом Мінфіну від 12.04.2019 № 11420-07-7/10401 направлено до Німецького товариства міжнародного співробітни</w:t>
            </w:r>
            <w:r>
              <w:rPr>
                <w:rFonts w:ascii="Times New Roman" w:hAnsi="Times New Roman"/>
                <w:sz w:val="24"/>
                <w:szCs w:val="24"/>
              </w:rPr>
              <w:t>цтва (GIZ) з проханням здійснити переклад англійською мовою.</w:t>
            </w:r>
          </w:p>
          <w:p w:rsidR="00BA2B6B" w:rsidRDefault="00885C05">
            <w:pPr>
              <w:ind w:firstLine="459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Порівняльну таблицю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истом Мінфіну від 05.06.2019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11420-03/2-3/14703 надіслано Урядовому офісу координації європейської та євроатлантичної інтеграції для передачі Стороні ЄС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опрацювання порівняльної таблиці з експертами ЄС 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2) Виконується. </w:t>
            </w:r>
            <w:r>
              <w:rPr>
                <w:rFonts w:ascii="Times New Roman" w:hAnsi="Times New Roman"/>
                <w:sz w:val="24"/>
                <w:szCs w:val="24"/>
              </w:rPr>
              <w:t>03.10.2019 від Сторони ЄС були отримані коментарі до порівняльних таблиць.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результатами опрацювання коментарів Сторони ЄС, Мінфін листом від 10.11.2019 № 11420-03/2-3/28727 надіслав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Урядового офісу координації європейської та євроатлантичної інтеграції відповідні роз’яснення для передачі Стороні ЄС.</w:t>
            </w:r>
          </w:p>
          <w:p w:rsidR="00BA2B6B" w:rsidRDefault="00885C05">
            <w:pPr>
              <w:pStyle w:val="a3"/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29.01.2020 було проведено відеоконференцію з представниками ЄК (DG TAXUD) щодо обговорення вищезазначених коментарів Сторони ЄС та пробл</w:t>
            </w:r>
            <w:r>
              <w:rPr>
                <w:rFonts w:ascii="Times New Roman" w:hAnsi="Times New Roman"/>
                <w:sz w:val="24"/>
                <w:szCs w:val="24"/>
              </w:rPr>
              <w:t>емних питань адаптації законодавства України до Директиви Ради від 19.10.1992 92/83/ЄЕС.</w:t>
            </w:r>
          </w:p>
          <w:p w:rsidR="00BA2B6B" w:rsidRDefault="00885C05">
            <w:pPr>
              <w:ind w:firstLine="5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результатами відеоконференції було вирішено: </w:t>
            </w:r>
          </w:p>
          <w:p w:rsidR="00BA2B6B" w:rsidRDefault="00885C0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доопрацювати та направити на повторне узгодження Стороні ЄС порівняльну таблицю щодо імплементації Директиви Ради 9</w:t>
            </w:r>
            <w:r>
              <w:rPr>
                <w:rFonts w:ascii="Times New Roman" w:hAnsi="Times New Roman"/>
                <w:sz w:val="24"/>
                <w:szCs w:val="24"/>
              </w:rPr>
              <w:t>2/83/ЄЕС від 19.10.1992 щодо гармонізації структур акцизних зборів на спирт та алкогольні напої у Податковому кодексі України (орієнтовний термін виконання - ІІ квартал 2020 року);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з урахуванням пояснень, отриманих від Сторони ЄС, доопрацювати та </w:t>
            </w:r>
            <w:r>
              <w:rPr>
                <w:rFonts w:ascii="Times New Roman" w:hAnsi="Times New Roman"/>
                <w:sz w:val="24"/>
                <w:szCs w:val="24"/>
              </w:rPr>
              <w:t>направити Урядовому офісу координації європейської та євроатлантичної інтеграції проект рішення Ради асоціації про імплементацію Директиви 92/83/ЄЕС.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04.05.2020 листом Мінфіну № 11420-03/2-3/12977 Стороні ЄС (в копію - Урядовий офіс координації європейсько</w:t>
            </w:r>
            <w:r>
              <w:rPr>
                <w:rFonts w:ascii="Times New Roman" w:hAnsi="Times New Roman"/>
                <w:sz w:val="24"/>
                <w:szCs w:val="24"/>
              </w:rPr>
              <w:t>ї та євроатлантичної інтеграції СКМУ) направлено доопрацьовану порівняльну таблицю імплементації Директиви Ради 92/83/ЄЕС від 19.10.1992 року щодо гармонізації структур акцизних зборів на спирт та алкогольні напої у національному законодавстві.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09.02.2021 </w:t>
            </w:r>
            <w:r>
              <w:rPr>
                <w:rFonts w:ascii="Times New Roman" w:hAnsi="Times New Roman"/>
                <w:sz w:val="24"/>
                <w:szCs w:val="24"/>
              </w:rPr>
              <w:t>отримано додаткові коментарі від Сторони ЄС.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23.02.2021 проведено нараду за участі експертів проекту EU4PFM та Представництвом ЄС в Україні щодо доопрацювання таблиці.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 доопрацьовану за результатами наради 23.02.2021 таблицю направлено до Предста</w:t>
            </w:r>
            <w:r>
              <w:rPr>
                <w:rFonts w:ascii="Times New Roman" w:hAnsi="Times New Roman"/>
                <w:sz w:val="24"/>
                <w:szCs w:val="24"/>
              </w:rPr>
              <w:t>вництва ЄС в Україні.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Україні, під час якої було обговорено поточний стан виконання Угоди про асоц</w:t>
            </w:r>
            <w:r>
              <w:rPr>
                <w:rFonts w:ascii="Times New Roman" w:hAnsi="Times New Roman"/>
                <w:sz w:val="24"/>
                <w:szCs w:val="24"/>
              </w:rPr>
              <w:t>іацію між Україною та ЄС у сфері оподаткування, проблемні питання співпраці зі Стороною ЄС  та шляхи їх вирішення.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29.10.2021 Мінфін листом № 44040-08-10/33081 звернувся до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TAXUD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із проханням надати офіційні висновки на попередні звернення.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 п</w:t>
            </w:r>
            <w:r>
              <w:rPr>
                <w:rFonts w:ascii="Times New Roman" w:hAnsi="Times New Roman"/>
                <w:sz w:val="24"/>
                <w:szCs w:val="24"/>
              </w:rPr>
              <w:t>ід час 7-го засідання Комітету асоціації між Україною та ЄС було зазначено про необхідність отримання висновків від Сторони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Детальні роз’яснення щодо оподаткування акцизним податком алкогольних напоїв (визначення бази оподаткування, ставки, звільнення,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особливі режими, факт виникнення податкових зобов’язань тощо) було надано у розділі 16 “Оподаткування” частини ІІ Опитувальника Європейської Комісії для формування висновку щодо надання Україні статусу кандидата на вступ до Європейського Союзу (лист Мінфі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від 25.04.2022 № 25010-11-3/8483 на </w:t>
            </w:r>
            <w:r>
              <w:rPr>
                <w:rFonts w:ascii="Times New Roman" w:hAnsi="Times New Roman"/>
                <w:sz w:val="24"/>
                <w:szCs w:val="24"/>
              </w:rPr>
              <w:t>Урядовий офіс координації європейської та євроатлантичної інтеграції СКМУ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25.05.2022 та 26.07.2022 було проведено експертну зустріч з представником проекту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EU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PFM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повторно повідомлено про очікування результатів о</w:t>
            </w:r>
            <w:r>
              <w:rPr>
                <w:rFonts w:ascii="Times New Roman" w:hAnsi="Times New Roman"/>
                <w:sz w:val="24"/>
                <w:szCs w:val="24"/>
              </w:rPr>
              <w:t>цінки Сторони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 за результатами наради під головуванням Віце-прем’єр-міністра з питань європейської та євроатлантичної інтеграції України Стефанішиної О. В. із заступниками міністрів, до сфери відповідальності яких належить питання європейсько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ї інтеграції, щодо підготовки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проектів законодавчих та нормативно-правових актів, передбачених переліком актів права ЄС, які необхідно імплементувати відповідно до плану заходів з виконання Угоди про асоціацію від 01.08.2022 (реєстр. № 20573/0/1-22 від 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08.2022) Мінфін офіційним листом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(№ 25010-11-3/17291) повторно надіслав Урядовому офісу координації європейської та євроатлантичної інтеграції СКМУ порівняльні таблиці щодо імплементації Директиви 2011/64/ЄС для передачі Стороні ЄС.</w:t>
            </w:r>
          </w:p>
          <w:p w:rsidR="00BA2B6B" w:rsidRDefault="00885C05">
            <w:pPr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пропозицією Мінфіну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директив делегації України для участі у Восьмому засіданні Ради асоціації між Україною та ЄС, яке відбулося 05.09.2022, було включено положення щодо необхідності одержання від Сторони ЄС інформації щодо часових рамок надання Українській Стороні результ</w:t>
            </w:r>
            <w:r>
              <w:rPr>
                <w:rFonts w:ascii="Times New Roman" w:hAnsi="Times New Roman"/>
                <w:sz w:val="24"/>
                <w:szCs w:val="24"/>
              </w:rPr>
              <w:t>атів оцінки імплементації у національне законодавство Директиви Ради № 2011/64/ЄС.</w:t>
            </w: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від Сторони ЄС не отримано.</w:t>
            </w:r>
          </w:p>
          <w:p w:rsidR="00BA2B6B" w:rsidRDefault="00BA2B6B">
            <w:pPr>
              <w:pStyle w:val="a3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B6B" w:rsidRDefault="00885C05">
            <w:pPr>
              <w:pStyle w:val="a3"/>
              <w:ind w:firstLine="454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Щодо імплементації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eastAsia="uk-UA"/>
              </w:rPr>
              <w:t>Директиви Ради 2008/118/ЄС.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вересня 2019 року від Сторони ЄС отримано коментарі, підготовлені DG TAXUD щодо оцінк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відповідності національного податкового законодавства Директиві 2008/118/ЄС. 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даний час триває опрацювання отриманих коментарів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(без змін).</w:t>
            </w:r>
          </w:p>
        </w:tc>
      </w:tr>
      <w:tr w:rsidR="00BA2B6B">
        <w:trPr>
          <w:trHeight w:val="2360"/>
        </w:trPr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розроблення, подання на розгляд Кабінету Міністрів України та забезпечення супроводження розгляду </w:t>
            </w:r>
            <w:r>
              <w:rPr>
                <w:rFonts w:ascii="Times New Roman" w:hAnsi="Times New Roman"/>
                <w:sz w:val="24"/>
                <w:szCs w:val="24"/>
              </w:rPr>
              <w:t>Верховною Радою України відповідного законопроекту (за результатами аналізу відповідності національного законодавства положенням актів ЄС та за необхідності)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B6B">
        <w:trPr>
          <w:trHeight w:val="112"/>
        </w:trPr>
        <w:tc>
          <w:tcPr>
            <w:tcW w:w="3715" w:type="dxa"/>
            <w:vMerge w:val="restart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1521. Законодавче закріплення особливостей регульованого ринку золотих зливків, прав та обов’яз</w:t>
            </w:r>
            <w:r>
              <w:rPr>
                <w:rFonts w:ascii="Times New Roman" w:hAnsi="Times New Roman"/>
                <w:sz w:val="24"/>
                <w:szCs w:val="24"/>
              </w:rPr>
              <w:t>ків торговців інвестиційним золотом відповідно до права ЄС</w:t>
            </w: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прав та обов’язків торговців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інвестиційним золотом відповідно до права ЄС</w:t>
            </w:r>
          </w:p>
        </w:tc>
        <w:tc>
          <w:tcPr>
            <w:tcW w:w="7654" w:type="dxa"/>
          </w:tcPr>
          <w:p w:rsidR="00BA2B6B" w:rsidRDefault="00885C05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Питання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щодо закріплення особливостей регульованого ринку золотих зливків, прав та обов’язків торговців інвестиційним золотом відповідно до права ЄС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належить до компетенції Мінфіну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(відповідно до Закону України від 20.05.1999 № 679-XIV «Про Національний банк України» Національний банк України є  центральним банком України, що визначає загальні принципи банківської діяльності та порядок здійснення 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анківського нагляду, забезпечує накопичення 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зберігання золотовалютних резервів та здійснення операцій з ними та банківськими металами).</w:t>
            </w:r>
          </w:p>
          <w:p w:rsidR="00BA2B6B" w:rsidRDefault="00885C05">
            <w:pPr>
              <w:ind w:firstLine="46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Мінфін у 2019 році, при внесенні змін до Плану заходів з виконання Угоди про асоціацію між Україною та ЄС, протягом 2020 року та у І, ІІ, ІІІ,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кварталах 2021 року, у І, ІІ та ІІІ кварталах 2022 року надавав Урядовому офісу координації європейської та єв</w:t>
            </w:r>
            <w:r>
              <w:rPr>
                <w:rFonts w:ascii="Times New Roman" w:hAnsi="Times New Roman"/>
                <w:sz w:val="24"/>
                <w:szCs w:val="24"/>
              </w:rPr>
              <w:t>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1521.</w:t>
            </w:r>
          </w:p>
          <w:p w:rsidR="00BA2B6B" w:rsidRDefault="00885C05">
            <w:pPr>
              <w:ind w:firstLine="4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Положення Директиви 112 стосуються лише оподаткування податком на додану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артість. Відповідні зміни внесено до Податкового кодексу України (пункт 1520 Плану заходів)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(без змін).</w:t>
            </w:r>
          </w:p>
        </w:tc>
      </w:tr>
      <w:tr w:rsidR="00BA2B6B">
        <w:trPr>
          <w:trHeight w:val="110"/>
        </w:trPr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2B6B">
        <w:trPr>
          <w:trHeight w:val="110"/>
        </w:trPr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розроблення та </w:t>
            </w:r>
            <w:r>
              <w:rPr>
                <w:rFonts w:ascii="Times New Roman" w:hAnsi="Times New Roman"/>
                <w:sz w:val="24"/>
                <w:szCs w:val="24"/>
              </w:rPr>
              <w:t>подання на розгляд Кабінетові Міністрів України проектів відповідних нормативно-правових актів Кабінету Міністрів України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розроблення, затвердження та реєстрація в Мін’юсті переліку вимог до операцій на регульованому ринку золотих зливків, особливих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 та обов’язків торговців інвестиційним золотом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A2B6B">
        <w:trPr>
          <w:trHeight w:val="714"/>
        </w:trPr>
        <w:tc>
          <w:tcPr>
            <w:tcW w:w="3715" w:type="dxa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1522. Законодавче закріплення можливостей запровадження інших податків, зборів та обов’язкових платежів</w:t>
            </w: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Прийняття відповідальними органами рішення щодо можливості та доцільності внесення змін 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Податкового кодексу України щодо запровадження інших податків, зборів, обов’язкових платежів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Пропонуємо змінити формулювання заходу цього пункту.</w:t>
            </w:r>
          </w:p>
          <w:p w:rsidR="00BA2B6B" w:rsidRDefault="00885C05">
            <w:pPr>
              <w:pStyle w:val="a3"/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Завдання “Законодавче закріплення можливостей запровадження інших податків, зборів та обов’язкових платежів”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стосується імплементації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Директиви Ради 2006/112/ЄС від 28.11.2006 про спільну систему податку на додану вартість, оскільки зазначена Директива передбачає вимоги лише щодо оподаткування ПДВ і не встановлює обмеження для запровадження інших податків, збор</w:t>
            </w:r>
            <w:r>
              <w:rPr>
                <w:rFonts w:ascii="Times New Roman" w:hAnsi="Times New Roman"/>
                <w:sz w:val="24"/>
                <w:szCs w:val="24"/>
              </w:rPr>
              <w:t>ів та обов’язкових платежів.</w:t>
            </w:r>
          </w:p>
          <w:p w:rsidR="00BA2B6B" w:rsidRDefault="00885C05">
            <w:pPr>
              <w:tabs>
                <w:tab w:val="left" w:pos="4253"/>
              </w:tabs>
              <w:ind w:right="21" w:firstLine="56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Зазначене завдання потребує роз’яснення щодо його виконання та змін щодо формулювання завдання.</w:t>
            </w:r>
          </w:p>
          <w:p w:rsidR="00BA2B6B" w:rsidRDefault="00885C05">
            <w:pPr>
              <w:tabs>
                <w:tab w:val="left" w:pos="4253"/>
              </w:tabs>
              <w:ind w:right="21" w:firstLine="56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Мінфін листом від 10.07.2021 № 25010-06-3/21770 звернувся до Кабінету Міністрів України з проханням надати роз’яснення щодо його ви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конання.</w:t>
            </w:r>
          </w:p>
          <w:p w:rsidR="00BA2B6B" w:rsidRDefault="00885C05">
            <w:pPr>
              <w:tabs>
                <w:tab w:val="left" w:pos="4253"/>
              </w:tabs>
              <w:ind w:right="21" w:firstLine="56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Станом на сьогодні роз’яснень не отримано.</w:t>
            </w:r>
          </w:p>
          <w:p w:rsidR="00BA2B6B" w:rsidRDefault="00885C05">
            <w:pPr>
              <w:tabs>
                <w:tab w:val="left" w:pos="4253"/>
              </w:tabs>
              <w:ind w:right="21" w:firstLine="567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При цьому, слід зазначити наступне.</w:t>
            </w:r>
          </w:p>
          <w:p w:rsidR="00BA2B6B" w:rsidRDefault="00885C05">
            <w:pPr>
              <w:spacing w:line="228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Статтею 401 Директиви 112 визначено:</w:t>
            </w:r>
          </w:p>
          <w:p w:rsidR="00BA2B6B" w:rsidRDefault="00885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9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«Стаття 401</w:t>
            </w:r>
          </w:p>
          <w:p w:rsidR="00BA2B6B" w:rsidRDefault="00885C05">
            <w:pPr>
              <w:spacing w:line="228" w:lineRule="auto"/>
              <w:ind w:firstLine="59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Без обмеження інших положень законодавства Співтовариства, ця Директива не перешкоджає будь-якій державі-члену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зберігати або впроваджувати податки на договори страхування, податки на парі та азартні ігри, акцизні збори, гербові збори або, загалом, будь-які податки, збори та обов’язкові платежі, які не можна охарактеризувати як податки з обігу, за умови, що утриманн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цих податків, зборів та обов’язкових платежів не призводить до виникнення формальностей під час перетину кордонів у торгівлі між державами-членами.»</w:t>
            </w:r>
          </w:p>
          <w:p w:rsidR="00BA2B6B" w:rsidRDefault="00885C05">
            <w:pPr>
              <w:spacing w:line="228" w:lineRule="auto"/>
              <w:ind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порівняльній таблиці </w:t>
            </w:r>
            <w:r>
              <w:rPr>
                <w:rFonts w:ascii="Times New Roman" w:hAnsi="Times New Roman"/>
                <w:sz w:val="24"/>
                <w:szCs w:val="24"/>
              </w:rPr>
              <w:t>відповідності національного податкового законодавства положенням Директиви 112, 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листом Мінфіну від 08.07.2020 № 11420-03/2-10/20566 було направлено до Представництва ЄС в Україні, ця стаття була визнана опціональною. </w:t>
            </w:r>
          </w:p>
          <w:p w:rsidR="00BA2B6B" w:rsidRDefault="00885C05">
            <w:pPr>
              <w:tabs>
                <w:tab w:val="left" w:pos="4253"/>
              </w:tabs>
              <w:ind w:right="21" w:firstLine="595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Сторона ЄС у висновку від 25.01.2021 не висловила зауваження до статті 401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(без змін).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1523. Приведення у </w:t>
            </w:r>
            <w:r>
              <w:rPr>
                <w:rFonts w:ascii="Times New Roman" w:hAnsi="Times New Roman"/>
                <w:sz w:val="24"/>
                <w:szCs w:val="24"/>
              </w:rPr>
              <w:t>відповідність з вимогами ЄС заходів для відшкодування податку на додану вартість суб’єктам оподаткування, які не засновані на території України (Рада асоціації визначає графік імплементації)</w:t>
            </w:r>
          </w:p>
        </w:tc>
        <w:tc>
          <w:tcPr>
            <w:tcW w:w="4111" w:type="dxa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розроблення та подання на розгляд Кабінету Міністрів України з</w:t>
            </w:r>
            <w:r>
              <w:rPr>
                <w:rFonts w:ascii="Times New Roman" w:hAnsi="Times New Roman"/>
                <w:sz w:val="24"/>
                <w:szCs w:val="24"/>
              </w:rPr>
              <w:t>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суб’єктам оподаткування, які не засновані на території України (відповідно до рішення, ухвалено</w:t>
            </w:r>
            <w:r>
              <w:rPr>
                <w:rFonts w:ascii="Times New Roman" w:hAnsi="Times New Roman"/>
                <w:sz w:val="24"/>
                <w:szCs w:val="24"/>
              </w:rPr>
              <w:t>го двосторонніми органами співробітництва)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1) Виконується. </w:t>
            </w:r>
            <w:r>
              <w:rPr>
                <w:rFonts w:ascii="Times New Roman" w:hAnsi="Times New Roman"/>
                <w:sz w:val="24"/>
                <w:szCs w:val="24"/>
              </w:rPr>
              <w:t>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ЄС, що відбу</w:t>
            </w:r>
            <w:r>
              <w:rPr>
                <w:rFonts w:ascii="Times New Roman" w:hAnsi="Times New Roman"/>
                <w:sz w:val="24"/>
                <w:szCs w:val="24"/>
              </w:rPr>
              <w:t>вся 14 березня 2019 року у м. Брюссель, Королівство Бельгія, (доручення КМУ від 28.12.2019 № 48409/0/1-19) Україна до вересня 2019 року повинна надати Стороні ЄС проект Рішення Ради Асоціації між Україною та ЄС стосовно графіку поступової імплементації Три</w:t>
            </w:r>
            <w:r>
              <w:rPr>
                <w:rFonts w:ascii="Times New Roman" w:hAnsi="Times New Roman"/>
                <w:sz w:val="24"/>
                <w:szCs w:val="24"/>
              </w:rPr>
              <w:t>надцятої Директиви.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Листом Мінфіну від 30.09.2019 № 11420-03/2-3/24432    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 імплементацію </w:t>
            </w:r>
            <w:r>
              <w:rPr>
                <w:rFonts w:ascii="Times New Roman" w:hAnsi="Times New Roman"/>
                <w:sz w:val="24"/>
                <w:szCs w:val="24"/>
              </w:rPr>
              <w:t>Тринадцятої Директиви Ради ЄС 86/560/ЄЕС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з 1 січня року, що настає через два роки після року, в якому Україні надано статус кандидата до вступу в ЄС.</w:t>
            </w:r>
          </w:p>
          <w:p w:rsidR="00BA2B6B" w:rsidRDefault="00885C05">
            <w:pPr>
              <w:pStyle w:val="a3"/>
              <w:ind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На виконання доручення Віце-прем’єр-міністра з питань європейської та євроатлантичної інтеграції України Д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митра Кулеби щодо проведення шостого засідання Ради асоціації між Україною та ЄС листом Мінфіну від 16.11.2019 № 11420-03/2-3/29545 проєкт вищезазначеного рішення  </w:t>
            </w:r>
            <w:r>
              <w:rPr>
                <w:rFonts w:ascii="Times New Roman" w:hAnsi="Times New Roman"/>
                <w:sz w:val="24"/>
                <w:szCs w:val="24"/>
              </w:rPr>
              <w:t>Ради асоціації було повторно направлено до Урядового офісу координації європейської та євроа</w:t>
            </w:r>
            <w:r>
              <w:rPr>
                <w:rFonts w:ascii="Times New Roman" w:hAnsi="Times New Roman"/>
                <w:sz w:val="24"/>
                <w:szCs w:val="24"/>
              </w:rPr>
              <w:t>тлантичної інтеграції, а також до Представництва ЄС в Україні.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07.02.2020 отримано відповідь від Сторони ЄС про необхідність доопрацювання проєкту рішення (визначення конкретного терміну імплементації 13 Директиви). 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В рамках проекту EU4PFM залучено коротк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(проведено 2 місії – 9-13 грудня 2019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року, 10-14 лютого 2020 року, низку онлайн-семінарів протягом березня-травня 2020 року).</w:t>
            </w:r>
          </w:p>
          <w:p w:rsidR="00BA2B6B" w:rsidRDefault="00885C0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результатами роботи експертів підготовлено оновлену порівняльну таблицю імплементації Директиви Ради ЄС 2006/112/ЄС від 28.11.2006  про спільну систему податку на </w:t>
            </w:r>
            <w:r>
              <w:rPr>
                <w:rFonts w:ascii="Times New Roman" w:hAnsi="Times New Roman"/>
                <w:sz w:val="24"/>
                <w:szCs w:val="24"/>
              </w:rPr>
              <w:t>додану вартість у розділі V. Податок на додану вартість Податкового кодексу України (українською та англійською мовами).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метою отримання оцінки Європейською Стороною виконання Українською Стороною положень Угоди про асоціацію порівняльну таблицю підготов</w:t>
            </w:r>
            <w:r>
              <w:rPr>
                <w:rFonts w:ascii="Times New Roman" w:hAnsi="Times New Roman"/>
                <w:sz w:val="24"/>
                <w:szCs w:val="24"/>
              </w:rPr>
              <w:t>лено для відправлення до Представництва ЄС та Урядового офісу координації європейської та євроатлантичної інтеграції.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Кінцевим результатом цієї роботи має стати отримання Українською Стороною від Європейської Комісії висновку щодо відповідності національно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го податкового законодавства положенням Директиви 112 та рекомендацій щодо вирішення проблемних питань, які виникатимуть під час такої імплементації.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На думку Міністерства фінансів України, визначення конкретних термінів імплементації Тринадцятої Директиви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можливо лише після проведення такої роботи.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Окрім цього, деякі положення Директиви 112 (місце поставки товарів/послуг), які також безпосередньо пов’язані з імплементацією механізму відшкодування податку на додану вартість платникам податків, які не встано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влені на території Співтовариства (Тринадцята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t>Директива), потребують додаткового вивчення, у тому числі стосовно процесу їх адміністрування.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Під час засідання четвертого засідання Кластера 2 Підкомітету економічного та секторального співробітництва Комітет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у Україна-ЄС (03 липня 2020 року, он-лайн засідання), із стороною ЄС узгоджено термін підготовки проекту Рішення Ради асоціації Україна-ЄС щодо графіку поступової імплементації Тринадцятої директиви – грудень 2021 року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26.10.2021 листом Мінфіну № 44040-08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-10/33081 проект рішення Ради асоціації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між Україною та ЄС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 імплементацію </w:t>
            </w:r>
            <w:r>
              <w:rPr>
                <w:rFonts w:ascii="Times New Roman" w:hAnsi="Times New Roman"/>
                <w:sz w:val="24"/>
                <w:szCs w:val="24"/>
              </w:rPr>
              <w:t>13 Директиви направлено Представництву ЄС в Україні та Урядовому офісу координації європейської та євроатлантичної інтеграції СКМУ.</w:t>
            </w:r>
          </w:p>
          <w:p w:rsidR="00BA2B6B" w:rsidRDefault="00885C05">
            <w:pPr>
              <w:ind w:left="-17" w:firstLine="4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Також, за результатами обговорення, проведеного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 час наради 01.08.2022 під головуванням Віце-прем’єрміністра з питань європейської та євроатлантичної інтеграції України О. Стефанішиної та у зв'язку із відсутністю відповіді від сторони ЄС Мінфін листом від 09.08.2022 № 25010-11-3/17291 повторно напра</w:t>
            </w:r>
            <w:r>
              <w:rPr>
                <w:rFonts w:ascii="Times New Roman" w:hAnsi="Times New Roman"/>
                <w:sz w:val="24"/>
                <w:szCs w:val="24"/>
              </w:rPr>
              <w:t>вив Урядовому офісу копію, надісланого стороні ЄС, проекту рішення Ради асоціації про імплементацію 13 Директиви.</w:t>
            </w:r>
          </w:p>
          <w:p w:rsidR="00BA2B6B" w:rsidRDefault="00BA2B6B">
            <w:pPr>
              <w:ind w:left="-17" w:firstLine="464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Відповіді від Сторони ЄС не отримано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pStyle w:val="a3"/>
              <w:ind w:firstLine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1526. Розроблення механізму розрахунку середньозваженої роздрібної ціни продажу (графік імплементації буде схвалено Радою асоціації)</w:t>
            </w:r>
          </w:p>
        </w:tc>
        <w:tc>
          <w:tcPr>
            <w:tcW w:w="4111" w:type="dxa"/>
          </w:tcPr>
          <w:p w:rsidR="00BA2B6B" w:rsidRDefault="00885C05">
            <w:pPr>
              <w:spacing w:line="235" w:lineRule="atLeast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розроблення проекту Закону України “Про внесення змін до Податкового кодексу України щодо </w:t>
            </w:r>
            <w:r>
              <w:rPr>
                <w:rFonts w:ascii="Times New Roman" w:hAnsi="Times New Roman"/>
                <w:sz w:val="24"/>
                <w:szCs w:val="24"/>
              </w:rPr>
              <w:t>наближення ставок акцизного податку на тютюнові вироби до мінімального рівня, встановленого в ЄС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7654" w:type="dxa"/>
          </w:tcPr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Виконано.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07.12.2017 ВРУ було прийнято, розроблений Мінфіном, Закон України “Про внесення змін до Податкового кодексу України щодо забезпечення збалансован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ості бюджетних надходжень у 2018 році” № 2245-VIIІ.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 встановлено, що з 01 січня 2025 року буде дотримано вимоги Директиви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2011/64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щодо частки акцизу у середньозваженій роздрібній ціні продажу сигарет як мінімум 60%. Для цього запроваджується механіз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 визначення такої ціни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Мінфіном було розроблено та листом від 27.10.2022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№ 11320-03-3/24933 подано на розгляд Кабінету Міністрів України проект Закону України «Про внесення зміни до статті 14 Податкового кодексу України щодо середньозваженої роздрібної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ціни продажу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сигарет», положення якого спрямовано на уточнення визначення середньозваженої роздрібної ціни продажу сигарет. 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КМУ було повернуто проект закону Мінфіну на доопрацювання.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Виконано. </w:t>
            </w:r>
            <w:r>
              <w:rPr>
                <w:rFonts w:ascii="Times New Roman" w:hAnsi="Times New Roman"/>
                <w:sz w:val="24"/>
                <w:szCs w:val="24"/>
              </w:rPr>
              <w:t>Мінфіном під</w:t>
            </w:r>
            <w:r>
              <w:rPr>
                <w:rFonts w:ascii="Times New Roman" w:hAnsi="Times New Roman"/>
                <w:sz w:val="24"/>
                <w:szCs w:val="24"/>
              </w:rPr>
              <w:t>готовлено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порівняльну таблицю щодо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відповідності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національного законодавства відповідним положенням Директиви Ради 2011/64/ЄС від 21 червня 2011 року про структуру і ставки акцизів до тютюнових виробів.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Листом Мінфіну від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03.09.2018 № 11420-03-3/23046 порі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вняльну таблицю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направлено Урядовому офісу координації європейської та євроатлантичної інтеграції для передачі Стороні ЄС.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05.02.2019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від Сторони ЄС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було отримано зауваження до закону, зокрема щодо його невідповідності статті 8.2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Директиви </w:t>
            </w:r>
            <w:r>
              <w:rPr>
                <w:rFonts w:ascii="Times New Roman" w:hAnsi="Times New Roman"/>
                <w:sz w:val="24"/>
                <w:szCs w:val="24"/>
              </w:rPr>
              <w:t>2011/64 в частин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 необхідності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уточнення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визначення середньозваженої роздрібної ціни продажу сигарет. Зокрема, рекомендовано зазначити, що при розрахунку середньозваженої роздрібної ціни враховуються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усі податки.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13.10.2022 оновлено та направлено Стороні ЄС (через </w:t>
            </w:r>
            <w:r>
              <w:rPr>
                <w:rFonts w:ascii="Times New Roman" w:hAnsi="Times New Roman"/>
                <w:sz w:val="24"/>
                <w:szCs w:val="24"/>
              </w:rPr>
              <w:t>Представництво України при ЄС) порівняльні таблиці щодо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Директиви 2011/64 в частині визначення тютюнових виробів. 03.11.2022 отримано коментарі від Сторони ЄС (через Представництво України при ЄС) до вказаної порівняльної таблиці. 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15.11.2022 направлено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тороні ЄС (через Представництво України при ЄС, в копії EU4PFM та Представництво ЄС в Україні) роз’яснення до коментарів ЄС від 03.11.2022. 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Представництво України при ЄС листом від 20.12.2022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3111/14-230-105276 поінформувало Мінфін про те, що 09.12.202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DG TAXUD повідомив Представництво України при ЄС про те, що доопрацьовані Мінфіном порівняльні таблиці на основі чинного законодавства із відповідними коментарями щодо Директиви 2011/64 відповідають на поставлені запитання ЄС, 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 обговорення ім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плементації положень Угоди про асоціацію між Україною та ЄС в частині акцизних податків на тютюнові вироби можна вважати закритим</w:t>
            </w:r>
            <w:r>
              <w:rPr>
                <w:rFonts w:ascii="Times" w:hAnsi="Times"/>
                <w:color w:val="000000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3) Виконується. </w:t>
            </w:r>
          </w:p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зв’язку  із необхідністю врахування коментарів ЄС (щодо невідповідності окремих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положень закону № 2245-VIIІ статті 8.2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Директиви </w:t>
            </w:r>
            <w:r>
              <w:rPr>
                <w:rFonts w:ascii="Times New Roman" w:hAnsi="Times New Roman"/>
                <w:sz w:val="24"/>
                <w:szCs w:val="24"/>
              </w:rPr>
              <w:t>2011/64) Мінфіном, зазначену рекомендацію ЄС, буде враховано при підготовці змін до податкового законодавства України.</w:t>
            </w:r>
          </w:p>
        </w:tc>
      </w:tr>
      <w:tr w:rsidR="00BA2B6B">
        <w:tc>
          <w:tcPr>
            <w:tcW w:w="3715" w:type="dxa"/>
            <w:vMerge w:val="restart"/>
          </w:tcPr>
          <w:p w:rsidR="00BA2B6B" w:rsidRDefault="00885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2003/96/ЄС (поступово, виходячи з майбутніх потреб України)</w:t>
            </w: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розроблення та подання на розгляд </w:t>
            </w:r>
            <w:r>
              <w:rPr>
                <w:rFonts w:ascii="Times New Roman" w:hAnsi="Times New Roman"/>
                <w:sz w:val="24"/>
                <w:szCs w:val="24"/>
              </w:rPr>
              <w:t>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</w:t>
            </w:r>
            <w:r>
              <w:rPr>
                <w:rFonts w:ascii="Times New Roman" w:hAnsi="Times New Roman"/>
                <w:sz w:val="24"/>
                <w:szCs w:val="24"/>
              </w:rPr>
              <w:t>3/96/ЄС</w:t>
            </w:r>
          </w:p>
          <w:p w:rsidR="00BA2B6B" w:rsidRDefault="00BA2B6B">
            <w:pPr>
              <w:spacing w:before="12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Виконується.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Законом України від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23.11.2018 № 2628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зборів»  (далі- Закон № 2628)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апроваджено: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 метою підвищення контролю за обігом пального в Системі електронного адміністрування реалізації пального (далі – СЕАРП) відображення фактичного руху палива в розрізі місць зберігання (до цього облік здійснювався в розрізі суб’єктів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господарювання);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здійснення порівняння показників з СЕАРП та показників витратомірів-лічильників і рівнемірів – лічильників рівня пального у резервуарі щодо обсягів обігу та залишків пального в розрізі кодів згідно з УКТ ЗЕД, акцизних складів та розпоряд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ників акцизних складів;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ліцензування діяльності усіх суб’єктів господарювання, які здійснюють виробництво, зберігання, оптову та роздрібну торгівлю пальним;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контроль за цільовим використанням пального, призначеного для цілей авіаційного транспорту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(бензинів авіаційних та палива для реактивних двигунів), встановлення відповідальності за використання такого товару не за призначенням (у разі нецільового використання пального застосовувати збільшуючий коефіцієнт 10);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положення, згідно із яким розпоряд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ники акцизних складів відповідно до вимог Податкового кодексу України зобов’язані обладнати акцизні склади витратомірами-лічильниками та/або рівнемірами-лічильниками та зареєструвати їх в Єдиному державному реєстрі витратомірів-лічильників та рівнемірів-лі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чильників рівня пального у резервуарі.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Для забезпечення реалізації Закону № 2628 прийнято наступні нормативно-правові акти, розроблені Мінфіном: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постанову Кабінету Міністрів України від  24.04.2019 № 408 «Деякі питання електронного адміністрування реаліз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ації пального та спирту етилового», якою затверджено Порядок електронного адміністрування пального та спирту етилового.;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постанову Кабінету Міністрів України від 19.06.2019 № 545 «Про затвердження Порядку ведення Єдиного державного реєстру суб’єктів госп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одарювання, які отримали ліцензії на право виробництва, зберігання, оптової та роздрібної торгівлі пальним, та місць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виробництва, зберігання, оптової та роздрібної торгівлі пальним та внесення змін до деяких постанов Кабінету Міністрів України». Зазначена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постанова прийнята Кабінетом Міністрів України;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наказ Міністерства фінансів України від 08.05.2019 № 188 «Про затвердження форми заявки на переміщення пального або спирту етилового транспортними засобами, що не є акцизними складами пересувними, та Порядк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у її заповнення»;</w:t>
            </w:r>
          </w:p>
          <w:p w:rsidR="00BA2B6B" w:rsidRDefault="00885C05">
            <w:pPr>
              <w:ind w:firstLine="60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- наказ Міністерства фінансів України від 18.06.2019 № 248 «Про внесення змін до наказу Міністерства фінансів України від 27 листопада 2018 року № 944» (щодо вдосконалення ведення Єдиного державного реєстру витратомірів-лічильників та рів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немірів – лічильників рівня пального у резервуарі).</w:t>
            </w:r>
          </w:p>
          <w:p w:rsidR="00BA2B6B" w:rsidRDefault="00885C05">
            <w:pPr>
              <w:pStyle w:val="aa"/>
              <w:ind w:left="39" w:firstLine="42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 метою приведення у відповідність до норм підпункту 212.3.4 пункту 212.3 статті 212 та статей 231, 232 розділу VI Кодексу, із змінами, внесеними Законом України від 18.12.2019 № 391 «Про внесення змін до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Податкового кодексу України та деяких інших законодавчих актів України щодо покращення адміністрування акцизного податку» прийнято наказ Мінфіну від 27.11.2020 № 729 «Про затвердження форм заяви про реєстрацію платника акцизного податку з реалізації пальн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ого або спирту етилового та/або акцизних складів, акцизної накладної, розрахунку коригування акцизної накладної, заявки на поповнення (коригування) залишку пального, заявки на поповнення (коригування) залишку спирту етилового, Порядку заповнення акцизної 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акладної, розрахунку коригування акцизної накладної, заявки на поповнення (коригування) залишку пального, заявки на поповнення (коригування) залишку спирту етилового», зареєстрований у Мін’юсті 14.12.2020 за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br/>
              <w:t>№ 1241/35524.</w:t>
            </w:r>
          </w:p>
          <w:p w:rsidR="00BA2B6B" w:rsidRDefault="00885C05">
            <w:pPr>
              <w:pStyle w:val="aa"/>
              <w:ind w:left="39" w:firstLine="42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Наказом затверджено: акцизну накла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дну форми «П»; акцизну накладну форми «С»; розрахунок коригування акцизної накладної форми «П»; розрахунок коригування акцизної накладної форми «С»; форму заявки на поповнення (коригування) залишку пального; форму заявки на поповнення (коригування) залишку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спирту етилового; Порядок заповнення акцизної накладної, розрахунку коригування акцизної накладної, заявки на поповнення (коригування) залишку пального, заявки на поповнення (коригування) залишку спирту етилового; форму заяви про реєстрацію платника акциз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ного податку з реалізації пального або спирту етилового та/або акцизних складів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:rsidR="00BA2B6B" w:rsidRDefault="00885C05">
            <w:pPr>
              <w:pStyle w:val="aa"/>
              <w:ind w:left="39" w:firstLine="42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Крім того, у розділі 16 “Оподаткування” частини ІІ Опитувальника Європейської Комісії для формування висновку щодо надання Україні статусу кандидата на вступ до Європейського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Союзу було надано детальні роз’яснення щодо оподаткування акцизним податком енергетичних продуктів (перелік підакцизних енергетичних товарів, база оподаткування, звільнення, особливі режими, факт виникнення податкового зобов’язання тощо) (лист Мінфіну від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25.04.2022 № 25010-11-3/8483 на </w:t>
            </w:r>
            <w:r>
              <w:rPr>
                <w:rFonts w:ascii="Times New Roman" w:hAnsi="Times New Roman"/>
                <w:sz w:val="24"/>
                <w:szCs w:val="24"/>
              </w:rPr>
              <w:t>Урядовий офіс координації європейської та євроатлантичної інтеграції СКМУ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(без змін)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опрацювання законопроекту з експертами ЄС</w:t>
            </w:r>
          </w:p>
        </w:tc>
        <w:tc>
          <w:tcPr>
            <w:tcW w:w="7654" w:type="dxa"/>
          </w:tcPr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 Мінфін направив Представництву ЄС в Україні для передачі DG TAXUD порівняльні таблиці  щодо імплементації Директиви Ради 2003/96/ЄС про реструктуризацію рамок Співтовариства для оподаткування енергетичних продуктів та електроенергії в частині пе</w:t>
            </w:r>
            <w:r>
              <w:rPr>
                <w:rFonts w:ascii="Times New Roman" w:hAnsi="Times New Roman"/>
                <w:sz w:val="24"/>
                <w:szCs w:val="24"/>
              </w:rPr>
              <w:t>реліку підакцизних товарів.</w:t>
            </w:r>
          </w:p>
        </w:tc>
      </w:tr>
      <w:tr w:rsidR="00BA2B6B">
        <w:tc>
          <w:tcPr>
            <w:tcW w:w="3715" w:type="dxa"/>
            <w:vMerge/>
          </w:tcPr>
          <w:p w:rsidR="00BA2B6B" w:rsidRDefault="00BA2B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A2B6B" w:rsidRDefault="00885C05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забезпечення супроводження розгляду Верховною Радою України законопроекту</w:t>
            </w:r>
          </w:p>
        </w:tc>
        <w:tc>
          <w:tcPr>
            <w:tcW w:w="7654" w:type="dxa"/>
          </w:tcPr>
          <w:p w:rsidR="00BA2B6B" w:rsidRDefault="00885C05">
            <w:pPr>
              <w:ind w:firstLine="453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:rsidR="00BA2B6B" w:rsidRDefault="00885C0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__________________</w:t>
      </w:r>
    </w:p>
    <w:sectPr w:rsidR="00BA2B6B">
      <w:headerReference w:type="default" r:id="rId8"/>
      <w:pgSz w:w="16838" w:h="11906" w:orient="landscape"/>
      <w:pgMar w:top="426" w:right="850" w:bottom="568" w:left="850" w:header="421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C05" w:rsidRDefault="00885C05">
      <w:pPr>
        <w:spacing w:after="0" w:line="240" w:lineRule="auto"/>
      </w:pPr>
    </w:p>
  </w:endnote>
  <w:endnote w:type="continuationSeparator" w:id="0">
    <w:p w:rsidR="00885C05" w:rsidRDefault="00885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C05" w:rsidRDefault="00885C05">
      <w:pPr>
        <w:spacing w:after="0" w:line="240" w:lineRule="auto"/>
      </w:pPr>
    </w:p>
  </w:footnote>
  <w:footnote w:type="continuationSeparator" w:id="0">
    <w:p w:rsidR="00885C05" w:rsidRDefault="00885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6B" w:rsidRDefault="00885C05">
    <w:pPr>
      <w:pStyle w:val="a4"/>
      <w:jc w:val="center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34E92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noProof/>
        <w:sz w:val="24"/>
        <w:szCs w:val="24"/>
      </w:rPr>
      <w:fldChar w:fldCharType="end"/>
    </w:r>
  </w:p>
  <w:p w:rsidR="00BA2B6B" w:rsidRDefault="00BA2B6B">
    <w:pPr>
      <w:pStyle w:val="a4"/>
      <w:jc w:val="center"/>
      <w:rPr>
        <w:rFonts w:ascii="Times New Roman" w:hAnsi="Times New Roman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5A7"/>
    <w:multiLevelType w:val="hybridMultilevel"/>
    <w:tmpl w:val="8A1003FC"/>
    <w:lvl w:ilvl="0" w:tplc="9B627D08">
      <w:start w:val="1"/>
      <w:numFmt w:val="decimal"/>
      <w:lvlText w:val="%1)"/>
      <w:lvlJc w:val="left"/>
      <w:pPr>
        <w:ind w:left="961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90237A2"/>
    <w:multiLevelType w:val="hybridMultilevel"/>
    <w:tmpl w:val="EC1EE972"/>
    <w:lvl w:ilvl="0" w:tplc="6E54F574">
      <w:start w:val="1"/>
      <w:numFmt w:val="decimal"/>
      <w:lvlText w:val="%1)"/>
      <w:lvlJc w:val="left"/>
      <w:pPr>
        <w:ind w:left="961" w:hanging="360"/>
      </w:p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0DDF560F"/>
    <w:multiLevelType w:val="hybridMultilevel"/>
    <w:tmpl w:val="A010FA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2BB3"/>
    <w:multiLevelType w:val="hybridMultilevel"/>
    <w:tmpl w:val="6D106EE2"/>
    <w:lvl w:ilvl="0" w:tplc="A2425A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710718"/>
    <w:multiLevelType w:val="hybridMultilevel"/>
    <w:tmpl w:val="2DA806A0"/>
    <w:lvl w:ilvl="0" w:tplc="B75843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C3ADA"/>
    <w:multiLevelType w:val="hybridMultilevel"/>
    <w:tmpl w:val="0A7EFFA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5AE30499"/>
    <w:multiLevelType w:val="hybridMultilevel"/>
    <w:tmpl w:val="235492C6"/>
    <w:lvl w:ilvl="0" w:tplc="A1BC1F9A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EC6A88"/>
    <w:multiLevelType w:val="hybridMultilevel"/>
    <w:tmpl w:val="72EA17F8"/>
    <w:lvl w:ilvl="0" w:tplc="0422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0E5C"/>
    <w:multiLevelType w:val="hybridMultilevel"/>
    <w:tmpl w:val="CAD000F8"/>
    <w:lvl w:ilvl="0" w:tplc="58785196">
      <w:start w:val="1"/>
      <w:numFmt w:val="decimal"/>
      <w:lvlText w:val="%1)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6B"/>
    <w:rsid w:val="00885C05"/>
    <w:rsid w:val="00BA2B6B"/>
    <w:rsid w:val="00E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8FCF1-DED0-4617-ABE0-6A0ECDF8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Style4">
    <w:name w:val="Style 4"/>
    <w:basedOn w:val="a"/>
    <w:link w:val="CharStyle5"/>
    <w:pPr>
      <w:widowControl w:val="0"/>
      <w:shd w:val="clear" w:color="auto" w:fill="FFFFFF"/>
      <w:spacing w:before="600" w:after="960" w:line="240" w:lineRule="auto"/>
    </w:pPr>
    <w:rPr>
      <w:sz w:val="26"/>
      <w:szCs w:val="26"/>
    </w:rPr>
  </w:style>
  <w:style w:type="paragraph" w:customStyle="1" w:styleId="body">
    <w:name w:val="body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List Paragraph"/>
    <w:basedOn w:val="a"/>
    <w:link w:val="ab"/>
    <w:qFormat/>
    <w:pPr>
      <w:ind w:left="720"/>
      <w:contextualSpacing/>
    </w:pPr>
  </w:style>
  <w:style w:type="paragraph" w:styleId="ac">
    <w:name w:val="Body Text Indent"/>
    <w:basedOn w:val="a"/>
    <w:link w:val="ad"/>
    <w:pPr>
      <w:spacing w:after="120"/>
      <w:ind w:left="283"/>
    </w:pPr>
  </w:style>
  <w:style w:type="paragraph" w:styleId="HTML">
    <w:name w:val="HTML Preformatted"/>
    <w:basedOn w:val="a"/>
    <w:link w:val="HTML0"/>
    <w:pPr>
      <w:spacing w:after="0" w:line="240" w:lineRule="auto"/>
    </w:pPr>
    <w:rPr>
      <w:rFonts w:ascii="Consolas" w:hAnsi="Consolas"/>
      <w:sz w:val="20"/>
      <w:szCs w:val="20"/>
    </w:rPr>
  </w:style>
  <w:style w:type="paragraph" w:customStyle="1" w:styleId="ae">
    <w:name w:val="Нормальний текст"/>
    <w:basedOn w:val="a"/>
    <w:link w:val="af"/>
    <w:qFormat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semiHidden/>
    <w:pPr>
      <w:spacing w:after="120"/>
    </w:p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rPr>
      <w:color w:val="0563C1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CharStyle5">
    <w:name w:val="Char Style 5"/>
    <w:link w:val="Style4"/>
    <w:rPr>
      <w:sz w:val="26"/>
      <w:szCs w:val="26"/>
      <w:shd w:val="clear" w:color="auto" w:fill="FFFFFF"/>
    </w:rPr>
  </w:style>
  <w:style w:type="character" w:customStyle="1" w:styleId="a9">
    <w:name w:val="Текст у виносці Знак"/>
    <w:basedOn w:val="a0"/>
    <w:link w:val="a8"/>
    <w:semiHidden/>
    <w:rPr>
      <w:rFonts w:ascii="Tahoma" w:hAnsi="Tahoma"/>
      <w:sz w:val="16"/>
      <w:szCs w:val="16"/>
    </w:rPr>
  </w:style>
  <w:style w:type="character" w:customStyle="1" w:styleId="ad">
    <w:name w:val="Основний текст з відступом Знак"/>
    <w:basedOn w:val="a0"/>
    <w:link w:val="ac"/>
  </w:style>
  <w:style w:type="character" w:customStyle="1" w:styleId="HTML0">
    <w:name w:val="Стандартний HTML Знак"/>
    <w:basedOn w:val="a0"/>
    <w:link w:val="HTML"/>
    <w:rPr>
      <w:rFonts w:ascii="Consolas" w:hAnsi="Consolas"/>
      <w:sz w:val="20"/>
      <w:szCs w:val="20"/>
    </w:rPr>
  </w:style>
  <w:style w:type="character" w:customStyle="1" w:styleId="af">
    <w:name w:val="Нормальний текст Знак"/>
    <w:link w:val="ae"/>
    <w:rPr>
      <w:rFonts w:ascii="Antiqua" w:hAnsi="Antiqua"/>
      <w:sz w:val="26"/>
      <w:szCs w:val="20"/>
      <w:lang w:eastAsia="ru-RU"/>
    </w:rPr>
  </w:style>
  <w:style w:type="character" w:customStyle="1" w:styleId="FontStyle">
    <w:name w:val="Font Style"/>
    <w:rPr>
      <w:color w:val="000000"/>
      <w:sz w:val="28"/>
    </w:rPr>
  </w:style>
  <w:style w:type="character" w:customStyle="1" w:styleId="af1">
    <w:name w:val="Основний текст Знак"/>
    <w:basedOn w:val="a0"/>
    <w:link w:val="af0"/>
    <w:semiHidden/>
  </w:style>
  <w:style w:type="character" w:styleId="af8">
    <w:name w:val="Strong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bCs/>
      <w:kern w:val="36"/>
      <w:sz w:val="48"/>
      <w:szCs w:val="48"/>
      <w:lang w:eastAsia="uk-UA"/>
    </w:rPr>
  </w:style>
  <w:style w:type="character" w:customStyle="1" w:styleId="rvts9">
    <w:name w:val="rvts9"/>
    <w:basedOn w:val="a0"/>
  </w:style>
  <w:style w:type="character" w:customStyle="1" w:styleId="rvts37">
    <w:name w:val="rvts37"/>
    <w:basedOn w:val="a0"/>
  </w:style>
  <w:style w:type="character" w:customStyle="1" w:styleId="ab">
    <w:name w:val="Абзац списку Знак"/>
    <w:link w:val="aa"/>
    <w:qFormat/>
  </w:style>
  <w:style w:type="character" w:styleId="af9">
    <w:name w:val="footnote reference"/>
    <w:semiHidden/>
    <w:rPr>
      <w:vertAlign w:val="superscript"/>
    </w:rPr>
  </w:style>
  <w:style w:type="character" w:customStyle="1" w:styleId="af3">
    <w:name w:val="Текст виноски Знак"/>
    <w:link w:val="af2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5">
    <w:name w:val="Текст кінцевої виноски Знак"/>
    <w:link w:val="af4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F5FA-1973-4454-948F-75FBF1C1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31572</Words>
  <Characters>17997</Characters>
  <Application>Microsoft Office Word</Application>
  <DocSecurity>0</DocSecurity>
  <Lines>149</Lines>
  <Paragraphs>98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2020-10-01T07:27:00Z</cp:lastPrinted>
  <dcterms:created xsi:type="dcterms:W3CDTF">2023-01-11T09:45:00Z</dcterms:created>
  <dcterms:modified xsi:type="dcterms:W3CDTF">2023-01-11T09:45:00Z</dcterms:modified>
</cp:coreProperties>
</file>