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98" w:rsidRDefault="009F0298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4393F" w:rsidRPr="00B34F43" w:rsidRDefault="0024393F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54A37" w:rsidRDefault="009F0298" w:rsidP="002439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Зразок </w:t>
      </w:r>
    </w:p>
    <w:p w:rsidR="0024393F" w:rsidRPr="00B34F43" w:rsidRDefault="0024393F" w:rsidP="002439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70015" w:rsidRPr="00B34F43" w:rsidRDefault="00070015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8730A" w:rsidRPr="00B34F43" w:rsidRDefault="00397379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ПРИМІРНА </w:t>
      </w:r>
      <w:r w:rsidR="0088730A" w:rsidRPr="00B34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ДЕКЛАРАЦІЯ</w:t>
      </w:r>
    </w:p>
    <w:p w:rsidR="0088730A" w:rsidRPr="00B34F43" w:rsidRDefault="0088730A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внутрішнього аудиту ____________________________________________</w:t>
      </w:r>
    </w:p>
    <w:p w:rsidR="0088730A" w:rsidRPr="00B34F43" w:rsidRDefault="0088730A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(назва державного  органу)</w:t>
      </w:r>
    </w:p>
    <w:p w:rsidR="00C54A37" w:rsidRPr="00B34F43" w:rsidRDefault="00C54A3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4A37" w:rsidRPr="00B34F43" w:rsidRDefault="00310D3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метою підтримки незалежності та сприяння розвитку діяльності з внутрішнього аудиту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 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 -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(посада керівника державного органу, прізвище, ім’я, по-батькові)</w:t>
      </w:r>
    </w:p>
    <w:p w:rsidR="00972917" w:rsidRPr="00B34F43" w:rsidRDefault="0039737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Керівник)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 -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  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(посада керівника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підрозділу внутрішнього аудиту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прізвище, ім’я, по-батькові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972917" w:rsidRPr="00B34F43" w:rsidRDefault="0097291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підрозділу внутрішнього аудиту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спільно 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заявляємо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наступне</w:t>
      </w:r>
      <w:r w:rsidR="00CA1733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7D74" w:rsidRPr="00B34F43" w:rsidRDefault="00972917" w:rsidP="0049465C">
      <w:pPr>
        <w:widowControl w:val="0"/>
        <w:spacing w:before="120"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</w:t>
      </w:r>
      <w:r w:rsidR="00A568FC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МІСІЯ</w:t>
      </w:r>
      <w:r w:rsidR="00A568FC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47132B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 ЦІЛІ</w:t>
      </w:r>
      <w:r w:rsidR="00CA047D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5AFD" w:rsidRPr="00B34F43" w:rsidRDefault="0002123F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Метою (місією) внутрішнього аудиту </w:t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 є</w:t>
      </w:r>
      <w:r w:rsidR="006F337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допомога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br/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(назва державного органу)</w:t>
      </w:r>
    </w:p>
    <w:p w:rsidR="00EF5326" w:rsidRPr="00B34F43" w:rsidRDefault="00907C31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Керівнику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у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досяг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ненні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поставлених цілей за допомогою системного та послідовного підходу до проведення внутрішніх аудитів шляхом оцінки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діяльності державного органу. </w:t>
      </w:r>
      <w:r w:rsidR="001E066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А також додання цінності установі 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за результатами такої оцінки </w:t>
      </w:r>
      <w:r w:rsidR="001E066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через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надання 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Керівнику належних рекомендацій щодо:</w:t>
      </w:r>
    </w:p>
    <w:p w:rsidR="00EF5326" w:rsidRPr="00B34F43" w:rsidRDefault="00EF5326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удосконалення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системи </w:t>
      </w:r>
      <w:r w:rsidR="00907C31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управління, внутрішнього контролю, у тому чис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лі процесів управління ризиками;</w:t>
      </w:r>
    </w:p>
    <w:p w:rsidR="00EF5326" w:rsidRPr="00B34F43" w:rsidRDefault="00EF5326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поліпшення </w:t>
      </w:r>
      <w:r w:rsidR="00907C31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політик і процедур, які забезпечують</w:t>
      </w:r>
      <w:r w:rsidR="00687F0A" w:rsidRPr="00B34F43">
        <w:rPr>
          <w:color w:val="000000" w:themeColor="text1"/>
        </w:rPr>
        <w:t xml:space="preserve">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запобігання фактам незаконного, неефективного та нерезультативного використання бюджетних коштів, виникненню помилок чи інших недоліків у діяльності державного органу, його територіальних органів, підприємств, установ та організацій, що належать до сфери його управління</w:t>
      </w:r>
      <w:r w:rsidR="00907C31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; </w:t>
      </w:r>
    </w:p>
    <w:p w:rsidR="005F60A2" w:rsidRPr="00B34F43" w:rsidRDefault="005F60A2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посилення підзвітності та підвищення ефективності</w:t>
      </w:r>
      <w:r w:rsidRPr="00B34F43">
        <w:rPr>
          <w:color w:val="000000" w:themeColor="text1"/>
        </w:rPr>
        <w:t xml:space="preserve">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діяльності державного органу, його територіальних органів, підприємств, установ та організацій, що належать до сфери його управління</w:t>
      </w:r>
      <w:r w:rsidR="009A54DB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9A54DB" w:rsidRPr="00B34F43" w:rsidRDefault="009A54DB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розвитку доброчесності через поступовий розвиток культури етичної поведінки, заснованої на дотриманні етичних цінностей.</w:t>
      </w:r>
    </w:p>
    <w:p w:rsidR="0005553D" w:rsidRPr="00B34F43" w:rsidRDefault="00E62DAB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Н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еобхідним є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забезпечення </w:t>
      </w:r>
      <w:r w:rsidR="0005553D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досягнення</w:t>
      </w:r>
      <w:r w:rsidR="0009758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підрозділом внутрішнього аудиту</w:t>
      </w:r>
      <w:r w:rsidR="0005553D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наступних цілей:</w:t>
      </w:r>
    </w:p>
    <w:p w:rsidR="00F340E6" w:rsidRPr="00B34F43" w:rsidRDefault="00F340E6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орієнтація внутрішнього аудиту на здійснення оцінки ефективності, результативності та якості виконання завдань, функцій, бюджетних програм, адміністративних послуг тощо;</w:t>
      </w:r>
    </w:p>
    <w:p w:rsidR="00F340E6" w:rsidRPr="00B34F43" w:rsidRDefault="007D4EB5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надання</w:t>
      </w:r>
      <w:r w:rsidR="00C8761D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аудиторських рекомендацій</w:t>
      </w:r>
      <w:r w:rsidR="0030614E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1A47E0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</w:t>
      </w:r>
      <w:r w:rsidR="001A47E0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спрямованих на покращення діяльності установи, її внутрішнього контролю та досягнення визначених цілей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943683" w:rsidRPr="00B34F43" w:rsidRDefault="00943683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постійний професійний розвиток 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(навчання та підвищення кваліфікації)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працівників підрозділу внутрішнього аудиту шляхом самоосвіти та участі у навчальних заходах з питань внутрішнього аудиту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, внутрішнього контролю та управління ризиками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910570" w:rsidRPr="00B34F43" w:rsidRDefault="00F340E6" w:rsidP="0049465C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інш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і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ціл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і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з урахуванням визначеної загальної стратегії </w:t>
      </w:r>
      <w:r w:rsidR="00910570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09758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та</w:t>
      </w:r>
    </w:p>
    <w:p w:rsidR="00910570" w:rsidRPr="00B34F43" w:rsidRDefault="00910570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(назва державного органу)</w:t>
      </w:r>
    </w:p>
    <w:p w:rsidR="00F340E6" w:rsidRDefault="00910570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мети (місії) внутрішнього аудиту.</w:t>
      </w:r>
    </w:p>
    <w:p w:rsidR="00123BCB" w:rsidRPr="00B34F43" w:rsidRDefault="00123BCB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</w:p>
    <w:p w:rsidR="00A568FC" w:rsidRPr="00B34F43" w:rsidRDefault="00972917" w:rsidP="0049465C">
      <w:pPr>
        <w:widowControl w:val="0"/>
        <w:spacing w:before="120"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ПРИНЦИПИ НЕЗАЛЕЖНОСТІ </w:t>
      </w:r>
    </w:p>
    <w:p w:rsidR="005231B7" w:rsidRPr="00B34F43" w:rsidRDefault="0002123F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Підрозділ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внутрішнього аудиту 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незалежн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 внутрішнього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аудит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що забезпечує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ться через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об’єктивний підхід до оцінки 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виконання поставлених перед ним завдань 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метою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надання</w:t>
      </w:r>
      <w:r w:rsidR="00355A9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незалежних висновків і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рекомендацій Керівнику. </w:t>
      </w:r>
    </w:p>
    <w:p w:rsidR="005231B7" w:rsidRPr="00B34F43" w:rsidRDefault="005231B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забезпечує о</w:t>
      </w:r>
      <w:r w:rsidR="0002123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рганізаційну та функціональну незалежність підрозділу внутрішнього аудиту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__________________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____________, що передбачає:</w:t>
      </w:r>
    </w:p>
    <w:p w:rsidR="00F32960" w:rsidRPr="00B34F43" w:rsidRDefault="00F32960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(назва державного органу)</w:t>
      </w:r>
    </w:p>
    <w:p w:rsidR="005231B7" w:rsidRPr="00B34F43" w:rsidRDefault="005231B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безпосереднє підпорядкування </w:t>
      </w:r>
      <w:r w:rsidR="004E5056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 звітування (підзвітність)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Керівника підрозділу внутрішнього аудиту Керівнику, а 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працівників підрозділу (далі –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внутрішніх аудиторів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Керівнику підрозділу внутрішнього аудиту;</w:t>
      </w:r>
    </w:p>
    <w:p w:rsidR="00FA0281" w:rsidRPr="00B34F43" w:rsidRDefault="000778E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недопущення покладення на підрозділ внутрішнього аудиту функцій чи надання доручень (завдань), не передбачених Порядком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здійснення внутрішнього аудиту та утворення підрозділів вн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утрішнього аудиту, затвердженим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постановою Кабінету Міністрів України від 28.09.2011 № 1001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далі – Порядок № 1001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та прийнятими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йог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виконання нормативно-правовими актами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Міністерства фінансів України; </w:t>
      </w:r>
    </w:p>
    <w:p w:rsidR="00907C31" w:rsidRPr="00B34F43" w:rsidRDefault="003804DA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недопущення виконання підрозділом внутрішнього аудиту функцій, пов’язаних із створенням / побудовою системи внутрішнього контролю в _________________________</w:t>
      </w:r>
      <w:r w:rsidR="00A8361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(назва державного органу)</w:t>
      </w:r>
    </w:p>
    <w:p w:rsidR="003804DA" w:rsidRPr="00B34F43" w:rsidRDefault="00A8361F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 забезпечення нада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ння підрозділом внутрішнього аудиту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незалежної та об’єктивної 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оцінки ефективності функціонування цієї системи</w:t>
      </w:r>
      <w:r w:rsidR="003804D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1274E" w:rsidRPr="00B34F43" w:rsidRDefault="001A6A61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затвердження Керівником </w:t>
      </w:r>
      <w:r w:rsidR="0011274E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="00F71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11274E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діяльності з внутрішнього аудиту (змін до н</w:t>
      </w:r>
      <w:r w:rsidR="00F71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ього</w:t>
      </w:r>
      <w:r w:rsidR="0011274E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сформованих підрозділом внутрішнього аудиту на підставі результатів оцінки ризиків;</w:t>
      </w:r>
    </w:p>
    <w:p w:rsidR="00CB4A49" w:rsidRPr="00B34F43" w:rsidRDefault="00F32960" w:rsidP="000376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невтручання у діяльність з внутрішнього аудиту інших службових та/або посадових осіб ___________________________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тому числі у процес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и:</w:t>
      </w:r>
      <w:r w:rsidR="00CB4A4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розробки </w:t>
      </w:r>
      <w:r w:rsidR="0003763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методологічних</w:t>
      </w:r>
      <w:r w:rsidR="0003763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3763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0281" w:rsidRPr="00B34F43" w:rsidRDefault="00F32960" w:rsidP="00CB4A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 з питань, що стосуються вн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утрішнього аудиту,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формування плану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діяльності з внутрішнього аудиту (змін до н</w:t>
      </w:r>
      <w:r w:rsidR="00F71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ього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програми забезпечення і підвищення якості внутрішнього аудиту, планів заходів </w:t>
      </w:r>
      <w:r w:rsidR="00EF087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 врахування рекомендацій, наданих за результатами внутрішніх чи зовнішніх оцінок якості внутрішнього аудиту,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також у процеси підготовки до виконання аудиторських завдань, їх здійснення,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складання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звітів про результати виконання аудиторських завдань та звітності про результати діяльності підрозділу внутрішнього аудиту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здійснення внутрішньої оцінки якості внутрішнього аудиту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32960" w:rsidRPr="00B34F43" w:rsidRDefault="00FA0281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прийняття Керівником рішень щодо організаційно-штатних змін, змін у структурі чи чисельності підрозділу внутрішнього аудиту </w:t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основі підготовлених Керівником підрозділу внутрішнього аудиту розрахунків, обґрунтувань, інформації про наявність обмежень у ресурсах</w:t>
      </w:r>
      <w:r w:rsidR="000778E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778E4" w:rsidRPr="00B34F43" w:rsidRDefault="000778E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затвердження кількісного та персонального складу аудиторського комітету і положення про нього </w:t>
      </w:r>
      <w:r w:rsidR="0037797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із врахуванням пропозицій </w:t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ерівника підрозділу внутрішнього аудиту;</w:t>
      </w:r>
    </w:p>
    <w:p w:rsidR="00A269A2" w:rsidRPr="00B34F43" w:rsidRDefault="00A269A2" w:rsidP="00AF7F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включення </w:t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ерівника підрозділу внутрішнього аудиту до 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складу колегії 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___;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A269A2" w:rsidRPr="00B34F43" w:rsidRDefault="00EF087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 внутрішнім аудиторам повного та безперешкодного доступу до активів, документів, інформації та баз даних, які стосуються</w:t>
      </w:r>
      <w:r w:rsidR="004B62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виконання аудиторських завдань.</w:t>
      </w:r>
    </w:p>
    <w:p w:rsidR="000778E4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Внутрішні аудитори повинні дотримуватися вимог щодо незалежності, що передбачає:</w:t>
      </w:r>
    </w:p>
    <w:p w:rsidR="00AD1CDD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 підрозділом внутрішнього аудиту завдань</w:t>
      </w:r>
      <w:r w:rsidR="0049465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визначених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Порядком № 1001, та прийнятими на його виконання нормативно-правовими актами Міністерства фінансів України; </w:t>
      </w:r>
    </w:p>
    <w:p w:rsidR="00144531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разі надходження доручень (завдань) інших посадових (службових) осіб ___________________________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які не пов’язані з діяльністю з внутрішнього аудиту,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 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         (назва державного органу)</w:t>
      </w:r>
    </w:p>
    <w:p w:rsidR="00AD1CDD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 їх виконання (невиконання) приймає Керівник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підрозділу внутрішнього аудиту, керуючись Порядком № 1001, та прийнятими на його виконання нормативно-правовими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актами</w:t>
      </w:r>
      <w:r w:rsidR="00DF7C5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Міністерства фінансів України.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123F" w:rsidRPr="00B34F43" w:rsidRDefault="00144531" w:rsidP="0049465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Внутрішні аудитори безпосередньо не здійснюють розробку та впровадження політики, систем та процедур, які не стосуються д</w:t>
      </w:r>
      <w:r w:rsidR="0007001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іяльності з внутрішнього аудиту</w:t>
      </w:r>
      <w:r w:rsidR="007C49B6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Р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оль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внутрішніх аудиторів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обмежується винятково наданням незалежних і об’єктивних висновків та рекомендацій</w:t>
      </w:r>
      <w:r w:rsidR="0002123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:rsidR="00A568FC" w:rsidRPr="00B34F43" w:rsidRDefault="00972917" w:rsidP="0049465C">
      <w:pPr>
        <w:widowControl w:val="0"/>
        <w:spacing w:before="120"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ОСНОВНІ ПОВНОВАЖЕННЯ ТА ОБОВ</w:t>
      </w:r>
      <w:r w:rsidR="00C64804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ЯЗКИ ПІДРОЗДІЛУ ВНУТРІШНЬОГО АУДИТУ</w:t>
      </w:r>
    </w:p>
    <w:p w:rsidR="00C64804" w:rsidRPr="00B34F43" w:rsidRDefault="00C6480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Повноваження підрозділу внутрішнього аудиту в _________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C64804" w:rsidRPr="00B34F43" w:rsidRDefault="00C6480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C64804" w:rsidRPr="00B34F43" w:rsidRDefault="00C6480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Порядком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1001, прийнятими на його виконання нормативно-правовими актами Міністерства фінансів України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внутрішніми документами з питань внутрішнього аудиту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1799" w:rsidRPr="00B34F43" w:rsidRDefault="00C64804" w:rsidP="00D917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Підрозділ внутрішнього аудиту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проводить оцінку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(назва державного органу)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</w:p>
    <w:p w:rsidR="00D91799" w:rsidRPr="00B34F43" w:rsidRDefault="00D91799" w:rsidP="00D917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ефективності функціонування системи внутрішнього контролю; ступеня виконання і досягнення цілей, визначених у стратегічних та річних планах; ефективності планування і виконання бюджетних програм та результатів їх виконання, управління бюджетними коштами; якості надання адміністративних послуг та виконання контрольно-наглядових функцій, завдань, визначених актами законодавства; використання і збереження активів; надійності, ефективності та результативності інформаційних систем і технологій; управління державним майном; правильності ведення бухгалтерського обліку та достовірності фінансової і бюджетної звітності; ризиків, які негативно впливають на виконання функцій і завдань державного органу, його територіальних органів, підприємств, установ та організацій, що належать до сфери його управління.</w:t>
      </w:r>
    </w:p>
    <w:p w:rsidR="00B0176C" w:rsidRPr="00B34F43" w:rsidRDefault="00B0176C" w:rsidP="000963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Підрозділ внутрішнього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аудиту здійсню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є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внутрішні аудити, нада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є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рекомендації, пропозиції і консультації та обміню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єть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ся знаннями задля сприяння: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удосконаленню діяльності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_____________________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</w:t>
      </w:r>
      <w:r w:rsidR="0009758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у тому числі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процесів </w:t>
      </w:r>
      <w:r w:rsidR="0049465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управління, внутрішнього контролю та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управління ризиками, розвитку доброчесності, підзвітності та ефективності, підтриманню етичних цінностей.</w:t>
      </w:r>
    </w:p>
    <w:p w:rsidR="00AF7F17" w:rsidRPr="00B34F43" w:rsidRDefault="00C64804" w:rsidP="0049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Для виконання покладених завдань внутріш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ні аудитори мають право повного та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безперешкодного 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доступу до всіх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активів, документів, інформації та баз даних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 __________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</w:t>
      </w:r>
      <w:r w:rsidR="00D61B2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____, 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які необхідні для здійснення внутрішнього аудиту. </w:t>
      </w:r>
      <w:r w:rsidR="0009758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При цьому 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(назва державного органу)</w:t>
      </w:r>
    </w:p>
    <w:p w:rsidR="00C64804" w:rsidRPr="00B34F43" w:rsidRDefault="00097589" w:rsidP="00AF7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</w:t>
      </w:r>
      <w:r w:rsidR="00C6480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нутрішні аудитори 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мають</w:t>
      </w:r>
      <w:r w:rsidR="00335F5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дотримуватися вимог щодо конфіденційності </w:t>
      </w:r>
      <w:r w:rsidR="00C6480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інформації, що їм надається.  </w:t>
      </w:r>
    </w:p>
    <w:p w:rsidR="00C84A62" w:rsidRPr="00B34F43" w:rsidRDefault="00C64804" w:rsidP="0049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Про кожен випадок обмежень внутрішніх аудиторів у доступі до документів, баз даних, іншої інформації, активів чи персоналу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ерівник підрозділу внутрішнього аудиту негайно доповідає Керівнику, який вжи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ває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відповідн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і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заход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для належного виконання аудиторських завдань. 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Крім того, про наявні обмеження щодо здійснення внутрішнього аудиту також може інформуватися аудит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орський комітет ___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_____________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______ (у разі його утворення).  </w:t>
      </w:r>
    </w:p>
    <w:p w:rsidR="00C64804" w:rsidRPr="00B34F43" w:rsidRDefault="00C84A62" w:rsidP="0049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                                                         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   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(назва державного органу) </w:t>
      </w:r>
    </w:p>
    <w:p w:rsidR="00C64804" w:rsidRPr="00B34F43" w:rsidRDefault="00C64804" w:rsidP="0049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Внутрішні аудитори несуть персональну відповідальність за виконання аудиторських завдань. </w:t>
      </w:r>
      <w:r w:rsidR="00AE3F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Також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внутрішні аудитори можуть ініціювати залучення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компетентних 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експертів, фахівців відповідних органів державної влади та органів місцевого самоврядування, державних фондів, підприємств, установ, організацій, інших юридичних осіб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для надання допомоги у проведенні 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внутрішнього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аудиту.  </w:t>
      </w:r>
    </w:p>
    <w:p w:rsidR="00CB2DC2" w:rsidRPr="00B34F43" w:rsidRDefault="00CB2DC2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Внутрішні аудитори повинні діяти і виконувати свої завдання відповідно до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Порядку № 1001,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Стандартів внутрішнього аудиту, </w:t>
      </w:r>
      <w:r w:rsidR="005173F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Кодексу етики,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 документів з внутрішнього аудиту.</w:t>
      </w:r>
    </w:p>
    <w:p w:rsidR="00CB2DC2" w:rsidRPr="00B34F43" w:rsidRDefault="00CB2DC2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підрозділу внутрішнього аудиту офіційно звіту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результати виконання аудитор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ських завдань Керівнику ___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_.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Звіт має містити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знахідки 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580B84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47132B" w:rsidRPr="00B34F43" w:rsidRDefault="00B0176C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(аудиторські докази) та 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рекомендації за результатами внутрішнього аудиту, а також оцінку системи внутрішнього контролю</w:t>
      </w:r>
      <w:r w:rsidR="00F706A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або окремих її елементів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2DC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і терміни обговорення ау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диторського звіту </w:t>
      </w:r>
      <w:r w:rsidR="00CB2DC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затверджується внутрішніми документами _______________</w:t>
      </w:r>
      <w:r w:rsidR="00D61B2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CB2DC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__.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</w:t>
      </w:r>
      <w:r w:rsidR="00F706AD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</w:t>
      </w:r>
      <w:r w:rsidR="00D40370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06AD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(назва державного органу)</w:t>
      </w:r>
    </w:p>
    <w:p w:rsidR="00DB538C" w:rsidRPr="00B34F43" w:rsidRDefault="00F5151B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рішенням Керівника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аудиторський звіт</w:t>
      </w:r>
      <w:r w:rsidR="00DB538C"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/ або інша інформація про</w:t>
      </w:r>
      <w:r w:rsidR="00DB538C" w:rsidRPr="00B34F43">
        <w:rPr>
          <w:color w:val="000000" w:themeColor="text1"/>
        </w:rPr>
        <w:t xml:space="preserve">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виконання аудиторських завдань може оприлюднюватися на офіційному веб-сайті ________________________</w:t>
      </w:r>
      <w:r w:rsidR="00D54AE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урахуванням вимог щодо інформації з обмеженим доступом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5151B" w:rsidRPr="00B34F43" w:rsidRDefault="00DB538C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(назва державного органу)</w:t>
      </w:r>
      <w:r w:rsidR="005173F9"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8082A" w:rsidRPr="00B34F43" w:rsidRDefault="00B8082A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підрозділу внутрішнього аудиту забезпечує підготовку та своєчасне подання звіту про результати діяльності з внутрішнього аудиту відповідно до вимог Порядку № 1001, та прийнятих на його виконання нормативно-правових актів Міністерства фінансів України.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ПРИКІНЦЕВІ ПОЛОЖЕННЯ</w:t>
      </w:r>
    </w:p>
    <w:p w:rsidR="004B6217" w:rsidRPr="00B34F43" w:rsidRDefault="004B621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Керівник забезпечує підтримку та сприяння розвитку діяльності з внутрішнього аудиту у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________________________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 тому числі за </w:t>
      </w:r>
      <w:r w:rsidR="0007001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поданням аудиторського комітету), створення</w:t>
      </w:r>
      <w:r w:rsidR="00AE3F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(назва державного органу) </w:t>
      </w:r>
    </w:p>
    <w:p w:rsidR="009F2B0A" w:rsidRPr="00B34F43" w:rsidRDefault="004B621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умов для безперервного професійного розвитку внутрішніх аудиторів (систематичного навчання та підвищення їх кваліфікації), 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також співпрацю п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рацівників ________________________ з внутрішніми аудиторами. </w:t>
      </w:r>
    </w:p>
    <w:p w:rsidR="00172CB5" w:rsidRPr="00B34F43" w:rsidRDefault="0007001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(назва державного органу) 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Цю Декларацію підписано “</w:t>
      </w:r>
      <w:r w:rsidR="00F71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______________ 20</w:t>
      </w:r>
      <w:r w:rsidR="00F71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року у м. _________.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ініціативою Керівника або Керівника підрозділу внутрішнього аудиту до Декларації можуть вноситися зміни відповідно до законодавства у сфері внутрішнього аудиту.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разі призначення нового Керівника або Керівника підрозділу внутрішнього аудиту нова Декларація підписується протягом місяця з дня т</w:t>
      </w:r>
      <w:bookmarkStart w:id="0" w:name="_GoBack"/>
      <w:bookmarkEnd w:id="0"/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акого призначення.</w:t>
      </w:r>
    </w:p>
    <w:p w:rsidR="00097589" w:rsidRPr="00B34F43" w:rsidRDefault="0009758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рішенням Керівника Декларація може оприлюднюватися на офіційному веб-сайті ________________________.</w:t>
      </w:r>
    </w:p>
    <w:p w:rsidR="00097589" w:rsidRPr="00B34F43" w:rsidRDefault="0009758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(назва державного органу)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A2C8F" w:rsidRPr="00B34F43" w:rsidRDefault="00AA2C8F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8730A" w:rsidRPr="00B34F43" w:rsidRDefault="0088730A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Підписи сторін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841"/>
      </w:tblGrid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(посада керівника державного органу)</w:t>
            </w: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(посада</w:t>
            </w:r>
            <w:r w:rsidRPr="00B34F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керівника підрозділу внутрішнього </w:t>
            </w: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аудиту державного органу)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(підпис)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(підпис)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(прізвище, ім’я, по-батькові)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(прізвище, ім’я, по-батькові)</w:t>
            </w:r>
          </w:p>
        </w:tc>
      </w:tr>
      <w:tr w:rsidR="0088730A" w:rsidRPr="00B34F43" w:rsidTr="00440EF6">
        <w:tc>
          <w:tcPr>
            <w:tcW w:w="4797" w:type="dxa"/>
            <w:shd w:val="clear" w:color="auto" w:fill="auto"/>
          </w:tcPr>
          <w:p w:rsidR="00440EF6" w:rsidRPr="00B34F43" w:rsidRDefault="00440EF6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«_____»___________________20____р.</w:t>
            </w:r>
          </w:p>
        </w:tc>
        <w:tc>
          <w:tcPr>
            <w:tcW w:w="4841" w:type="dxa"/>
            <w:shd w:val="clear" w:color="auto" w:fill="auto"/>
          </w:tcPr>
          <w:p w:rsidR="00440EF6" w:rsidRPr="00B34F43" w:rsidRDefault="00440EF6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«_____»___________________20____р.</w:t>
            </w:r>
          </w:p>
        </w:tc>
      </w:tr>
    </w:tbl>
    <w:p w:rsidR="0088730A" w:rsidRPr="00B34F43" w:rsidRDefault="0088730A" w:rsidP="0049465C">
      <w:pPr>
        <w:widowControl w:val="0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sectPr w:rsidR="0088730A" w:rsidRPr="00B34F43" w:rsidSect="005B15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D3" w:rsidRDefault="00A551D3" w:rsidP="00B0176C">
      <w:pPr>
        <w:spacing w:after="0" w:line="240" w:lineRule="auto"/>
      </w:pPr>
      <w:r>
        <w:separator/>
      </w:r>
    </w:p>
  </w:endnote>
  <w:endnote w:type="continuationSeparator" w:id="0">
    <w:p w:rsidR="00A551D3" w:rsidRDefault="00A551D3" w:rsidP="00B0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D3" w:rsidRDefault="00A551D3" w:rsidP="00B0176C">
      <w:pPr>
        <w:spacing w:after="0" w:line="240" w:lineRule="auto"/>
      </w:pPr>
      <w:r>
        <w:separator/>
      </w:r>
    </w:p>
  </w:footnote>
  <w:footnote w:type="continuationSeparator" w:id="0">
    <w:p w:rsidR="00A551D3" w:rsidRDefault="00A551D3" w:rsidP="00B0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263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0176C" w:rsidRPr="00B0176C" w:rsidRDefault="00B0176C">
        <w:pPr>
          <w:pStyle w:val="a5"/>
          <w:jc w:val="center"/>
          <w:rPr>
            <w:rFonts w:ascii="Times New Roman" w:hAnsi="Times New Roman" w:cs="Times New Roman"/>
          </w:rPr>
        </w:pPr>
        <w:r w:rsidRPr="00B0176C">
          <w:rPr>
            <w:rFonts w:ascii="Times New Roman" w:hAnsi="Times New Roman" w:cs="Times New Roman"/>
          </w:rPr>
          <w:fldChar w:fldCharType="begin"/>
        </w:r>
        <w:r w:rsidRPr="00B0176C">
          <w:rPr>
            <w:rFonts w:ascii="Times New Roman" w:hAnsi="Times New Roman" w:cs="Times New Roman"/>
          </w:rPr>
          <w:instrText xml:space="preserve"> PAGE   \* MERGEFORMAT </w:instrText>
        </w:r>
        <w:r w:rsidRPr="00B0176C">
          <w:rPr>
            <w:rFonts w:ascii="Times New Roman" w:hAnsi="Times New Roman" w:cs="Times New Roman"/>
          </w:rPr>
          <w:fldChar w:fldCharType="separate"/>
        </w:r>
        <w:r w:rsidR="00F71BBE">
          <w:rPr>
            <w:rFonts w:ascii="Times New Roman" w:hAnsi="Times New Roman" w:cs="Times New Roman"/>
            <w:noProof/>
          </w:rPr>
          <w:t>3</w:t>
        </w:r>
        <w:r w:rsidRPr="00B0176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0176C" w:rsidRDefault="00B017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C0512"/>
    <w:multiLevelType w:val="hybridMultilevel"/>
    <w:tmpl w:val="06C4F7CE"/>
    <w:lvl w:ilvl="0" w:tplc="29C6D5A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12"/>
    <w:rsid w:val="0002123F"/>
    <w:rsid w:val="00037639"/>
    <w:rsid w:val="00045720"/>
    <w:rsid w:val="00045FE6"/>
    <w:rsid w:val="0005553D"/>
    <w:rsid w:val="00064CA8"/>
    <w:rsid w:val="00070015"/>
    <w:rsid w:val="000778E4"/>
    <w:rsid w:val="000963EC"/>
    <w:rsid w:val="00097589"/>
    <w:rsid w:val="000A5652"/>
    <w:rsid w:val="000A74F2"/>
    <w:rsid w:val="000C5437"/>
    <w:rsid w:val="000F570B"/>
    <w:rsid w:val="0011274E"/>
    <w:rsid w:val="00113D0E"/>
    <w:rsid w:val="00115707"/>
    <w:rsid w:val="0012371E"/>
    <w:rsid w:val="00123BCB"/>
    <w:rsid w:val="00144531"/>
    <w:rsid w:val="00172CB5"/>
    <w:rsid w:val="00174762"/>
    <w:rsid w:val="001A47E0"/>
    <w:rsid w:val="001A6A61"/>
    <w:rsid w:val="001E0669"/>
    <w:rsid w:val="001F1A7D"/>
    <w:rsid w:val="00223B75"/>
    <w:rsid w:val="0024393F"/>
    <w:rsid w:val="00247D74"/>
    <w:rsid w:val="00263BAA"/>
    <w:rsid w:val="00284B64"/>
    <w:rsid w:val="00287933"/>
    <w:rsid w:val="002D2FF0"/>
    <w:rsid w:val="002F24AD"/>
    <w:rsid w:val="0030614E"/>
    <w:rsid w:val="00306BCD"/>
    <w:rsid w:val="00310D39"/>
    <w:rsid w:val="0031378B"/>
    <w:rsid w:val="003309DA"/>
    <w:rsid w:val="00335F58"/>
    <w:rsid w:val="00343568"/>
    <w:rsid w:val="00355A9C"/>
    <w:rsid w:val="0037797D"/>
    <w:rsid w:val="003804DA"/>
    <w:rsid w:val="00397379"/>
    <w:rsid w:val="003B0B7A"/>
    <w:rsid w:val="003B42E9"/>
    <w:rsid w:val="003C19A3"/>
    <w:rsid w:val="003C7788"/>
    <w:rsid w:val="003E38C1"/>
    <w:rsid w:val="00425ED5"/>
    <w:rsid w:val="00434265"/>
    <w:rsid w:val="00440EF6"/>
    <w:rsid w:val="0047132B"/>
    <w:rsid w:val="00485F6E"/>
    <w:rsid w:val="0049465C"/>
    <w:rsid w:val="004B6217"/>
    <w:rsid w:val="004E5056"/>
    <w:rsid w:val="00504479"/>
    <w:rsid w:val="00511BDE"/>
    <w:rsid w:val="00515612"/>
    <w:rsid w:val="005173F9"/>
    <w:rsid w:val="005231B7"/>
    <w:rsid w:val="00580B84"/>
    <w:rsid w:val="005A0D29"/>
    <w:rsid w:val="005B15DD"/>
    <w:rsid w:val="005B3BBC"/>
    <w:rsid w:val="005D33D4"/>
    <w:rsid w:val="005D6907"/>
    <w:rsid w:val="005F60A2"/>
    <w:rsid w:val="00603C4F"/>
    <w:rsid w:val="00616594"/>
    <w:rsid w:val="00662449"/>
    <w:rsid w:val="00687F0A"/>
    <w:rsid w:val="0069144A"/>
    <w:rsid w:val="00695EE5"/>
    <w:rsid w:val="006A4704"/>
    <w:rsid w:val="006F0A55"/>
    <w:rsid w:val="006F3378"/>
    <w:rsid w:val="00734955"/>
    <w:rsid w:val="007352CE"/>
    <w:rsid w:val="0076044A"/>
    <w:rsid w:val="007C49B6"/>
    <w:rsid w:val="007D4EB5"/>
    <w:rsid w:val="00835809"/>
    <w:rsid w:val="0088405A"/>
    <w:rsid w:val="0088730A"/>
    <w:rsid w:val="008C0D75"/>
    <w:rsid w:val="00900627"/>
    <w:rsid w:val="00907C31"/>
    <w:rsid w:val="00910570"/>
    <w:rsid w:val="009231AE"/>
    <w:rsid w:val="00925AFD"/>
    <w:rsid w:val="00943683"/>
    <w:rsid w:val="00945DA9"/>
    <w:rsid w:val="00972917"/>
    <w:rsid w:val="009A54DB"/>
    <w:rsid w:val="009F0298"/>
    <w:rsid w:val="009F2B0A"/>
    <w:rsid w:val="00A269A2"/>
    <w:rsid w:val="00A551D3"/>
    <w:rsid w:val="00A568FC"/>
    <w:rsid w:val="00A64390"/>
    <w:rsid w:val="00A8361F"/>
    <w:rsid w:val="00AA1309"/>
    <w:rsid w:val="00AA2C8F"/>
    <w:rsid w:val="00AD1CDD"/>
    <w:rsid w:val="00AE3FAB"/>
    <w:rsid w:val="00AF7F17"/>
    <w:rsid w:val="00B0176C"/>
    <w:rsid w:val="00B34F43"/>
    <w:rsid w:val="00B8082A"/>
    <w:rsid w:val="00B877DF"/>
    <w:rsid w:val="00BD3C4A"/>
    <w:rsid w:val="00BE0F53"/>
    <w:rsid w:val="00C54A37"/>
    <w:rsid w:val="00C64804"/>
    <w:rsid w:val="00C84A62"/>
    <w:rsid w:val="00C8761D"/>
    <w:rsid w:val="00CA047D"/>
    <w:rsid w:val="00CA1733"/>
    <w:rsid w:val="00CB2DC2"/>
    <w:rsid w:val="00CB4A49"/>
    <w:rsid w:val="00CC5218"/>
    <w:rsid w:val="00CC5E2E"/>
    <w:rsid w:val="00CE4EC5"/>
    <w:rsid w:val="00D03F33"/>
    <w:rsid w:val="00D3341D"/>
    <w:rsid w:val="00D40370"/>
    <w:rsid w:val="00D54AE7"/>
    <w:rsid w:val="00D61B25"/>
    <w:rsid w:val="00D64E09"/>
    <w:rsid w:val="00D73705"/>
    <w:rsid w:val="00D91799"/>
    <w:rsid w:val="00DB538C"/>
    <w:rsid w:val="00DF699B"/>
    <w:rsid w:val="00DF7C54"/>
    <w:rsid w:val="00E03D43"/>
    <w:rsid w:val="00E13505"/>
    <w:rsid w:val="00E62DAB"/>
    <w:rsid w:val="00EC2564"/>
    <w:rsid w:val="00EF0874"/>
    <w:rsid w:val="00EF5326"/>
    <w:rsid w:val="00F018D5"/>
    <w:rsid w:val="00F32960"/>
    <w:rsid w:val="00F340E6"/>
    <w:rsid w:val="00F5151B"/>
    <w:rsid w:val="00F56043"/>
    <w:rsid w:val="00F706AD"/>
    <w:rsid w:val="00F71BBE"/>
    <w:rsid w:val="00F77BB9"/>
    <w:rsid w:val="00FA0281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083"/>
  <w15:docId w15:val="{FA112CFE-693E-49D7-9AE1-2D84A5B2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873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9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14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0176C"/>
  </w:style>
  <w:style w:type="paragraph" w:styleId="a7">
    <w:name w:val="footer"/>
    <w:basedOn w:val="a"/>
    <w:link w:val="a8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0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8260</Words>
  <Characters>4709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Кудрик Галина Петрівна</dc:creator>
  <cp:keywords/>
  <dc:description/>
  <cp:lastModifiedBy>Байдашнікова Тетяна Олександрівна</cp:lastModifiedBy>
  <cp:revision>4</cp:revision>
  <cp:lastPrinted>2018-12-20T15:41:00Z</cp:lastPrinted>
  <dcterms:created xsi:type="dcterms:W3CDTF">2024-10-10T07:32:00Z</dcterms:created>
  <dcterms:modified xsi:type="dcterms:W3CDTF">2024-10-10T08:13:00Z</dcterms:modified>
</cp:coreProperties>
</file>