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C4F08" w14:textId="77777777" w:rsidR="00BC7304" w:rsidRPr="00EC7FCB" w:rsidRDefault="00BC7304" w:rsidP="0056668F">
      <w:pPr>
        <w:pStyle w:val="af1"/>
        <w:jc w:val="center"/>
        <w:rPr>
          <w:rFonts w:eastAsia="Times New Roman"/>
          <w:color w:val="17365D" w:themeColor="text2" w:themeShade="BF"/>
          <w:sz w:val="48"/>
          <w:szCs w:val="48"/>
        </w:rPr>
      </w:pPr>
      <w:bookmarkStart w:id="0" w:name="_GoBack"/>
      <w:bookmarkEnd w:id="0"/>
      <w:r w:rsidRPr="00EC7FCB">
        <w:rPr>
          <w:rFonts w:eastAsia="Times New Roman"/>
          <w:color w:val="17365D" w:themeColor="text2" w:themeShade="BF"/>
          <w:sz w:val="48"/>
          <w:szCs w:val="48"/>
        </w:rPr>
        <w:t>Звіт</w:t>
      </w:r>
    </w:p>
    <w:p w14:paraId="53B0CEE1" w14:textId="77777777" w:rsidR="00BC7304" w:rsidRPr="00EC7FCB" w:rsidRDefault="00BC7304" w:rsidP="0056668F">
      <w:pPr>
        <w:pStyle w:val="af1"/>
        <w:jc w:val="center"/>
        <w:rPr>
          <w:rFonts w:eastAsia="Times New Roman"/>
          <w:color w:val="17365D" w:themeColor="text2" w:themeShade="BF"/>
          <w:sz w:val="48"/>
          <w:szCs w:val="48"/>
        </w:rPr>
      </w:pPr>
      <w:r w:rsidRPr="00EC7FCB">
        <w:rPr>
          <w:rFonts w:eastAsia="Times New Roman"/>
          <w:color w:val="17365D" w:themeColor="text2" w:themeShade="BF"/>
          <w:sz w:val="48"/>
          <w:szCs w:val="48"/>
        </w:rPr>
        <w:t>про виконання Програми упр</w:t>
      </w:r>
      <w:r w:rsidR="00CF1F8B" w:rsidRPr="00EC7FCB">
        <w:rPr>
          <w:rFonts w:eastAsia="Times New Roman"/>
          <w:color w:val="17365D" w:themeColor="text2" w:themeShade="BF"/>
          <w:sz w:val="48"/>
          <w:szCs w:val="48"/>
        </w:rPr>
        <w:t>авління державним боргом за 2018</w:t>
      </w:r>
      <w:r w:rsidRPr="00EC7FCB">
        <w:rPr>
          <w:rFonts w:eastAsia="Times New Roman"/>
          <w:color w:val="17365D" w:themeColor="text2" w:themeShade="BF"/>
          <w:sz w:val="48"/>
          <w:szCs w:val="48"/>
        </w:rPr>
        <w:t xml:space="preserve"> рік</w:t>
      </w:r>
    </w:p>
    <w:p w14:paraId="40FD7A03" w14:textId="77777777" w:rsidR="001D6ED7" w:rsidRPr="00311B07" w:rsidRDefault="001D6ED7" w:rsidP="000545FD">
      <w:pPr>
        <w:shd w:val="clear" w:color="auto" w:fill="FFFFFF"/>
        <w:spacing w:after="80" w:line="240" w:lineRule="auto"/>
        <w:jc w:val="center"/>
        <w:rPr>
          <w:rFonts w:ascii="Times New Roman" w:eastAsia="Times New Roman" w:hAnsi="Times New Roman" w:cs="Times New Roman"/>
          <w:b/>
          <w:sz w:val="28"/>
          <w:szCs w:val="28"/>
        </w:rPr>
      </w:pPr>
    </w:p>
    <w:p w14:paraId="573E8A9F" w14:textId="77777777" w:rsidR="00BC7304" w:rsidRPr="00311B07" w:rsidRDefault="00BC7304" w:rsidP="0056668F">
      <w:pPr>
        <w:pStyle w:val="1"/>
        <w:numPr>
          <w:ilvl w:val="0"/>
          <w:numId w:val="15"/>
        </w:numPr>
        <w:rPr>
          <w:b w:val="0"/>
          <w:bCs w:val="0"/>
          <w:color w:val="365F91" w:themeColor="accent1" w:themeShade="BF"/>
        </w:rPr>
      </w:pPr>
      <w:r w:rsidRPr="00311B07">
        <w:rPr>
          <w:color w:val="365F91" w:themeColor="accent1" w:themeShade="BF"/>
        </w:rPr>
        <w:t>Загальні положення</w:t>
      </w:r>
    </w:p>
    <w:p w14:paraId="1558E52F" w14:textId="54792644" w:rsidR="00BC7304" w:rsidRDefault="00BC7304" w:rsidP="00487CEE">
      <w:pPr>
        <w:pStyle w:val="a3"/>
        <w:shd w:val="clear" w:color="auto" w:fill="FFFFFF"/>
        <w:spacing w:before="0" w:beforeAutospacing="0" w:after="80" w:afterAutospacing="0"/>
        <w:ind w:firstLine="709"/>
        <w:jc w:val="both"/>
        <w:rPr>
          <w:color w:val="000000" w:themeColor="text1"/>
          <w:sz w:val="28"/>
          <w:szCs w:val="28"/>
        </w:rPr>
      </w:pPr>
      <w:r w:rsidRPr="00311B07">
        <w:rPr>
          <w:sz w:val="28"/>
          <w:szCs w:val="28"/>
        </w:rPr>
        <w:t xml:space="preserve">Звіт про </w:t>
      </w:r>
      <w:r w:rsidRPr="00311B07">
        <w:rPr>
          <w:color w:val="000000" w:themeColor="text1"/>
          <w:sz w:val="28"/>
          <w:szCs w:val="28"/>
        </w:rPr>
        <w:t xml:space="preserve">виконання </w:t>
      </w:r>
      <w:hyperlink r:id="rId13" w:history="1">
        <w:r w:rsidRPr="00311B07">
          <w:rPr>
            <w:rStyle w:val="af3"/>
            <w:color w:val="000000" w:themeColor="text1"/>
            <w:sz w:val="28"/>
            <w:szCs w:val="28"/>
            <w:u w:val="none"/>
          </w:rPr>
          <w:t>Програми управління державним боргом за 201</w:t>
        </w:r>
        <w:r w:rsidR="00CF1F8B" w:rsidRPr="00311B07">
          <w:rPr>
            <w:rStyle w:val="af3"/>
            <w:color w:val="000000" w:themeColor="text1"/>
            <w:sz w:val="28"/>
            <w:szCs w:val="28"/>
            <w:u w:val="none"/>
          </w:rPr>
          <w:t>8</w:t>
        </w:r>
        <w:r w:rsidRPr="00311B07">
          <w:rPr>
            <w:rStyle w:val="af3"/>
            <w:color w:val="000000" w:themeColor="text1"/>
            <w:sz w:val="28"/>
            <w:szCs w:val="28"/>
            <w:u w:val="none"/>
          </w:rPr>
          <w:t xml:space="preserve"> рік</w:t>
        </w:r>
      </w:hyperlink>
      <w:r w:rsidR="00532449" w:rsidRPr="00311B07">
        <w:rPr>
          <w:color w:val="000000" w:themeColor="text1"/>
          <w:sz w:val="28"/>
          <w:szCs w:val="28"/>
        </w:rPr>
        <w:t>,</w:t>
      </w:r>
      <w:r w:rsidR="00487CEE" w:rsidRPr="00311B07">
        <w:rPr>
          <w:color w:val="000000" w:themeColor="text1"/>
          <w:sz w:val="28"/>
          <w:szCs w:val="28"/>
        </w:rPr>
        <w:t xml:space="preserve"> </w:t>
      </w:r>
      <w:r w:rsidRPr="00311B07">
        <w:rPr>
          <w:color w:val="000000" w:themeColor="text1"/>
          <w:sz w:val="28"/>
          <w:szCs w:val="28"/>
        </w:rPr>
        <w:t xml:space="preserve">що затверджена наказом Міністерства фінансів України від </w:t>
      </w:r>
      <w:r w:rsidR="00CF1F8B" w:rsidRPr="00311B07">
        <w:rPr>
          <w:color w:val="000000" w:themeColor="text1"/>
          <w:sz w:val="28"/>
          <w:szCs w:val="28"/>
        </w:rPr>
        <w:t xml:space="preserve">31.01.2018 р. № 69 </w:t>
      </w:r>
      <w:r w:rsidRPr="00311B07">
        <w:rPr>
          <w:color w:val="000000" w:themeColor="text1"/>
          <w:sz w:val="28"/>
          <w:szCs w:val="28"/>
        </w:rPr>
        <w:t>(далі – Програма)</w:t>
      </w:r>
      <w:r w:rsidR="00117A84" w:rsidRPr="00311B07">
        <w:rPr>
          <w:color w:val="000000" w:themeColor="text1"/>
          <w:sz w:val="28"/>
          <w:szCs w:val="28"/>
        </w:rPr>
        <w:t>,</w:t>
      </w:r>
      <w:r w:rsidRPr="00311B07">
        <w:rPr>
          <w:color w:val="000000" w:themeColor="text1"/>
          <w:sz w:val="28"/>
          <w:szCs w:val="28"/>
        </w:rPr>
        <w:t xml:space="preserve"> підготовлено на виконання вимог постанови Кабінету Міністрів України </w:t>
      </w:r>
      <w:hyperlink r:id="rId14" w:history="1">
        <w:r w:rsidRPr="00311B07">
          <w:rPr>
            <w:rStyle w:val="af3"/>
            <w:color w:val="000000" w:themeColor="text1"/>
            <w:sz w:val="28"/>
            <w:szCs w:val="28"/>
            <w:u w:val="none"/>
          </w:rPr>
          <w:t>«Про затвердження Порядку здійснення контролю за ризиками, пов'язаними з управлінням державним (місцевим) боргом»</w:t>
        </w:r>
      </w:hyperlink>
      <w:r w:rsidR="00487CEE" w:rsidRPr="00311B07">
        <w:rPr>
          <w:color w:val="000000" w:themeColor="text1"/>
          <w:sz w:val="28"/>
          <w:szCs w:val="28"/>
        </w:rPr>
        <w:t xml:space="preserve"> (від 01.08.2012 №815).</w:t>
      </w:r>
    </w:p>
    <w:p w14:paraId="1EF15F4D" w14:textId="77777777" w:rsidR="002505E0" w:rsidRPr="00311B07" w:rsidRDefault="005679FC" w:rsidP="0056668F">
      <w:pPr>
        <w:pStyle w:val="1"/>
        <w:numPr>
          <w:ilvl w:val="0"/>
          <w:numId w:val="15"/>
        </w:numPr>
        <w:rPr>
          <w:color w:val="365F91" w:themeColor="accent1" w:themeShade="BF"/>
        </w:rPr>
      </w:pPr>
      <w:r w:rsidRPr="00311B07">
        <w:rPr>
          <w:color w:val="365F91" w:themeColor="accent1" w:themeShade="BF"/>
        </w:rPr>
        <w:t>Стан та структура державного боргу на кінець 201</w:t>
      </w:r>
      <w:r w:rsidR="00CF1F8B" w:rsidRPr="00311B07">
        <w:rPr>
          <w:color w:val="365F91" w:themeColor="accent1" w:themeShade="BF"/>
        </w:rPr>
        <w:t>8</w:t>
      </w:r>
      <w:r w:rsidRPr="00311B07">
        <w:rPr>
          <w:color w:val="365F91" w:themeColor="accent1" w:themeShade="BF"/>
        </w:rPr>
        <w:t xml:space="preserve"> року</w:t>
      </w:r>
    </w:p>
    <w:p w14:paraId="2CE1D402" w14:textId="77777777" w:rsidR="002505E0" w:rsidRPr="00311B07" w:rsidRDefault="002505E0" w:rsidP="000545FD">
      <w:pPr>
        <w:shd w:val="clear" w:color="auto" w:fill="FFFFFF"/>
        <w:spacing w:after="80" w:line="240" w:lineRule="auto"/>
        <w:ind w:right="-1" w:firstLine="709"/>
        <w:jc w:val="both"/>
        <w:rPr>
          <w:rFonts w:ascii="Times New Roman" w:hAnsi="Times New Roman"/>
          <w:color w:val="000000" w:themeColor="text1"/>
          <w:sz w:val="28"/>
          <w:szCs w:val="28"/>
        </w:rPr>
      </w:pPr>
      <w:r w:rsidRPr="00311B07">
        <w:rPr>
          <w:rFonts w:ascii="Times New Roman" w:hAnsi="Times New Roman"/>
          <w:sz w:val="28"/>
          <w:szCs w:val="28"/>
        </w:rPr>
        <w:t>Статтею 5 Закону України «</w:t>
      </w:r>
      <w:hyperlink r:id="rId15" w:history="1">
        <w:r w:rsidRPr="00311B07">
          <w:rPr>
            <w:rStyle w:val="af3"/>
            <w:rFonts w:ascii="Times New Roman" w:hAnsi="Times New Roman"/>
            <w:color w:val="000000" w:themeColor="text1"/>
            <w:sz w:val="28"/>
            <w:szCs w:val="28"/>
            <w:u w:val="none"/>
          </w:rPr>
          <w:t>Про Державний бюджет України на 201</w:t>
        </w:r>
        <w:r w:rsidR="00CF1F8B" w:rsidRPr="00311B07">
          <w:rPr>
            <w:rStyle w:val="af3"/>
            <w:rFonts w:ascii="Times New Roman" w:hAnsi="Times New Roman"/>
            <w:color w:val="000000" w:themeColor="text1"/>
            <w:sz w:val="28"/>
            <w:szCs w:val="28"/>
            <w:u w:val="none"/>
          </w:rPr>
          <w:t>8</w:t>
        </w:r>
        <w:r w:rsidRPr="00311B07">
          <w:rPr>
            <w:rStyle w:val="af3"/>
            <w:rFonts w:ascii="Times New Roman" w:hAnsi="Times New Roman"/>
            <w:color w:val="000000" w:themeColor="text1"/>
            <w:sz w:val="28"/>
            <w:szCs w:val="28"/>
            <w:u w:val="none"/>
          </w:rPr>
          <w:t xml:space="preserve"> рік</w:t>
        </w:r>
      </w:hyperlink>
      <w:r w:rsidRPr="00311B07">
        <w:rPr>
          <w:rFonts w:ascii="Times New Roman" w:hAnsi="Times New Roman"/>
          <w:color w:val="000000" w:themeColor="text1"/>
          <w:sz w:val="28"/>
          <w:szCs w:val="28"/>
        </w:rPr>
        <w:t>»</w:t>
      </w:r>
      <w:r w:rsidR="00DF19C9" w:rsidRPr="00311B07">
        <w:rPr>
          <w:rFonts w:ascii="Times New Roman" w:hAnsi="Times New Roman"/>
          <w:color w:val="000000" w:themeColor="text1"/>
          <w:sz w:val="28"/>
          <w:szCs w:val="28"/>
        </w:rPr>
        <w:t xml:space="preserve"> </w:t>
      </w:r>
      <w:r w:rsidR="007C5214" w:rsidRPr="00311B07">
        <w:rPr>
          <w:rFonts w:ascii="Times New Roman" w:hAnsi="Times New Roman"/>
          <w:color w:val="000000" w:themeColor="text1"/>
          <w:sz w:val="28"/>
          <w:szCs w:val="28"/>
          <w:lang w:val="ru-RU"/>
        </w:rPr>
        <w:t>(</w:t>
      </w:r>
      <w:r w:rsidR="00DF19C9" w:rsidRPr="00311B07">
        <w:rPr>
          <w:rFonts w:ascii="Times New Roman" w:hAnsi="Times New Roman"/>
          <w:color w:val="000000" w:themeColor="text1"/>
          <w:sz w:val="28"/>
          <w:szCs w:val="28"/>
        </w:rPr>
        <w:t>з</w:t>
      </w:r>
      <w:r w:rsidR="007C4FE7" w:rsidRPr="00311B07">
        <w:rPr>
          <w:rFonts w:ascii="Times New Roman" w:hAnsi="Times New Roman"/>
          <w:color w:val="000000" w:themeColor="text1"/>
          <w:sz w:val="28"/>
          <w:szCs w:val="28"/>
        </w:rPr>
        <w:t>і</w:t>
      </w:r>
      <w:r w:rsidR="00DF19C9" w:rsidRPr="00311B07">
        <w:rPr>
          <w:rFonts w:ascii="Times New Roman" w:hAnsi="Times New Roman"/>
          <w:color w:val="000000" w:themeColor="text1"/>
          <w:sz w:val="28"/>
          <w:szCs w:val="28"/>
        </w:rPr>
        <w:t xml:space="preserve"> змінами</w:t>
      </w:r>
      <w:r w:rsidR="007C5214" w:rsidRPr="00311B07">
        <w:rPr>
          <w:rFonts w:ascii="Times New Roman" w:hAnsi="Times New Roman"/>
          <w:color w:val="000000" w:themeColor="text1"/>
          <w:sz w:val="28"/>
          <w:szCs w:val="28"/>
          <w:lang w:val="ru-RU"/>
        </w:rPr>
        <w:t>)</w:t>
      </w:r>
      <w:r w:rsidRPr="00311B07">
        <w:rPr>
          <w:rFonts w:ascii="Times New Roman" w:hAnsi="Times New Roman"/>
          <w:color w:val="000000" w:themeColor="text1"/>
          <w:sz w:val="28"/>
          <w:szCs w:val="28"/>
        </w:rPr>
        <w:t xml:space="preserve"> визначено граничний обсяг державного боргу на кінец</w:t>
      </w:r>
      <w:r w:rsidR="00D56E3A" w:rsidRPr="00311B07">
        <w:rPr>
          <w:rFonts w:ascii="Times New Roman" w:hAnsi="Times New Roman"/>
          <w:color w:val="000000" w:themeColor="text1"/>
          <w:sz w:val="28"/>
          <w:szCs w:val="28"/>
        </w:rPr>
        <w:t>ь 201</w:t>
      </w:r>
      <w:r w:rsidR="00CF1F8B" w:rsidRPr="00311B07">
        <w:rPr>
          <w:rFonts w:ascii="Times New Roman" w:hAnsi="Times New Roman"/>
          <w:color w:val="000000" w:themeColor="text1"/>
          <w:sz w:val="28"/>
          <w:szCs w:val="28"/>
        </w:rPr>
        <w:t>8</w:t>
      </w:r>
      <w:r w:rsidR="00D56E3A" w:rsidRPr="00311B07">
        <w:rPr>
          <w:rFonts w:ascii="Times New Roman" w:hAnsi="Times New Roman"/>
          <w:color w:val="000000" w:themeColor="text1"/>
          <w:sz w:val="28"/>
          <w:szCs w:val="28"/>
        </w:rPr>
        <w:t xml:space="preserve"> року в сумі </w:t>
      </w:r>
      <w:r w:rsidR="001A0765" w:rsidRPr="00311B07">
        <w:rPr>
          <w:rFonts w:ascii="Times New Roman" w:hAnsi="Times New Roman"/>
          <w:color w:val="000000" w:themeColor="text1"/>
          <w:sz w:val="28"/>
          <w:szCs w:val="28"/>
        </w:rPr>
        <w:t>2001</w:t>
      </w:r>
      <w:r w:rsidRPr="00311B07">
        <w:rPr>
          <w:rFonts w:ascii="Times New Roman" w:hAnsi="Times New Roman"/>
          <w:color w:val="000000" w:themeColor="text1"/>
          <w:sz w:val="28"/>
          <w:szCs w:val="28"/>
        </w:rPr>
        <w:t>,</w:t>
      </w:r>
      <w:r w:rsidR="001A0765" w:rsidRPr="00311B07">
        <w:rPr>
          <w:rFonts w:ascii="Times New Roman" w:hAnsi="Times New Roman"/>
          <w:color w:val="000000" w:themeColor="text1"/>
          <w:sz w:val="28"/>
          <w:szCs w:val="28"/>
        </w:rPr>
        <w:t>9</w:t>
      </w:r>
      <w:r w:rsidRPr="00311B07">
        <w:rPr>
          <w:rFonts w:ascii="Times New Roman" w:hAnsi="Times New Roman"/>
          <w:color w:val="000000" w:themeColor="text1"/>
          <w:sz w:val="28"/>
          <w:szCs w:val="28"/>
        </w:rPr>
        <w:t> </w:t>
      </w:r>
      <w:r w:rsidR="007C5214" w:rsidRPr="00311B07">
        <w:rPr>
          <w:rFonts w:ascii="Times New Roman" w:hAnsi="Times New Roman"/>
          <w:color w:val="000000" w:themeColor="text1"/>
          <w:sz w:val="28"/>
          <w:szCs w:val="28"/>
        </w:rPr>
        <w:t>млрд</w:t>
      </w:r>
      <w:r w:rsidRPr="00311B07">
        <w:rPr>
          <w:rFonts w:ascii="Times New Roman" w:hAnsi="Times New Roman"/>
          <w:color w:val="000000" w:themeColor="text1"/>
          <w:sz w:val="28"/>
          <w:szCs w:val="28"/>
        </w:rPr>
        <w:t xml:space="preserve"> гривень.</w:t>
      </w:r>
    </w:p>
    <w:p w14:paraId="6E8F0BB1" w14:textId="77777777" w:rsidR="00EE1660" w:rsidRPr="00311B07" w:rsidRDefault="002505E0" w:rsidP="00CB4375">
      <w:pPr>
        <w:shd w:val="clear" w:color="auto" w:fill="FFFFFF"/>
        <w:spacing w:before="40" w:after="40" w:line="240" w:lineRule="auto"/>
        <w:ind w:firstLine="709"/>
        <w:jc w:val="both"/>
        <w:rPr>
          <w:rFonts w:ascii="Times New Roman" w:hAnsi="Times New Roman"/>
          <w:color w:val="000000" w:themeColor="text1"/>
          <w:sz w:val="28"/>
          <w:szCs w:val="28"/>
        </w:rPr>
      </w:pPr>
      <w:r w:rsidRPr="00311B07">
        <w:rPr>
          <w:rFonts w:ascii="Times New Roman" w:hAnsi="Times New Roman"/>
          <w:color w:val="000000" w:themeColor="text1"/>
          <w:sz w:val="28"/>
          <w:szCs w:val="28"/>
        </w:rPr>
        <w:t>Фактично станом на 31 грудня 201</w:t>
      </w:r>
      <w:r w:rsidR="00CF1F8B" w:rsidRPr="00311B07">
        <w:rPr>
          <w:rFonts w:ascii="Times New Roman" w:hAnsi="Times New Roman"/>
          <w:color w:val="000000" w:themeColor="text1"/>
          <w:sz w:val="28"/>
          <w:szCs w:val="28"/>
        </w:rPr>
        <w:t>8</w:t>
      </w:r>
      <w:r w:rsidRPr="00311B07">
        <w:rPr>
          <w:rFonts w:ascii="Times New Roman" w:hAnsi="Times New Roman"/>
          <w:color w:val="000000" w:themeColor="text1"/>
          <w:sz w:val="28"/>
          <w:szCs w:val="28"/>
        </w:rPr>
        <w:t xml:space="preserve"> року державний борг України становив 18</w:t>
      </w:r>
      <w:r w:rsidR="002310EE" w:rsidRPr="00311B07">
        <w:rPr>
          <w:rFonts w:ascii="Times New Roman" w:hAnsi="Times New Roman"/>
          <w:color w:val="000000" w:themeColor="text1"/>
          <w:sz w:val="28"/>
          <w:szCs w:val="28"/>
        </w:rPr>
        <w:t>60</w:t>
      </w:r>
      <w:r w:rsidRPr="00311B07">
        <w:rPr>
          <w:rFonts w:ascii="Times New Roman" w:hAnsi="Times New Roman"/>
          <w:color w:val="000000" w:themeColor="text1"/>
          <w:sz w:val="28"/>
          <w:szCs w:val="28"/>
        </w:rPr>
        <w:t>,</w:t>
      </w:r>
      <w:r w:rsidR="002310EE" w:rsidRPr="00311B07">
        <w:rPr>
          <w:rFonts w:ascii="Times New Roman" w:hAnsi="Times New Roman"/>
          <w:color w:val="000000" w:themeColor="text1"/>
          <w:sz w:val="28"/>
          <w:szCs w:val="28"/>
        </w:rPr>
        <w:t xml:space="preserve">5 </w:t>
      </w:r>
      <w:r w:rsidR="007C5214" w:rsidRPr="00311B07">
        <w:rPr>
          <w:rFonts w:ascii="Times New Roman" w:hAnsi="Times New Roman"/>
          <w:color w:val="000000" w:themeColor="text1"/>
          <w:sz w:val="28"/>
          <w:szCs w:val="28"/>
        </w:rPr>
        <w:t>млрд</w:t>
      </w:r>
      <w:r w:rsidRPr="00311B07">
        <w:rPr>
          <w:rFonts w:ascii="Times New Roman" w:hAnsi="Times New Roman"/>
          <w:color w:val="000000" w:themeColor="text1"/>
          <w:sz w:val="28"/>
          <w:szCs w:val="28"/>
        </w:rPr>
        <w:t xml:space="preserve"> </w:t>
      </w:r>
      <w:r w:rsidR="007C5214" w:rsidRPr="00311B07">
        <w:rPr>
          <w:rFonts w:ascii="Times New Roman" w:hAnsi="Times New Roman"/>
          <w:color w:val="000000" w:themeColor="text1"/>
          <w:sz w:val="28"/>
          <w:szCs w:val="28"/>
        </w:rPr>
        <w:t>грн</w:t>
      </w:r>
      <w:r w:rsidRPr="00311B07">
        <w:rPr>
          <w:rFonts w:ascii="Times New Roman" w:hAnsi="Times New Roman"/>
          <w:color w:val="000000" w:themeColor="text1"/>
          <w:sz w:val="28"/>
          <w:szCs w:val="28"/>
        </w:rPr>
        <w:t xml:space="preserve">, або </w:t>
      </w:r>
      <w:r w:rsidR="002310EE" w:rsidRPr="00311B07">
        <w:rPr>
          <w:rFonts w:ascii="Times New Roman" w:hAnsi="Times New Roman"/>
          <w:color w:val="000000" w:themeColor="text1"/>
          <w:sz w:val="28"/>
          <w:szCs w:val="28"/>
        </w:rPr>
        <w:t>67,2</w:t>
      </w:r>
      <w:r w:rsidRPr="00311B07">
        <w:rPr>
          <w:rFonts w:ascii="Times New Roman" w:hAnsi="Times New Roman"/>
          <w:color w:val="000000" w:themeColor="text1"/>
          <w:sz w:val="28"/>
          <w:szCs w:val="28"/>
        </w:rPr>
        <w:t xml:space="preserve"> </w:t>
      </w:r>
      <w:r w:rsidR="007C5214" w:rsidRPr="00311B07">
        <w:rPr>
          <w:rFonts w:ascii="Times New Roman" w:hAnsi="Times New Roman"/>
          <w:color w:val="000000" w:themeColor="text1"/>
          <w:sz w:val="28"/>
          <w:szCs w:val="28"/>
        </w:rPr>
        <w:t>млрд</w:t>
      </w:r>
      <w:r w:rsidRPr="00311B07">
        <w:rPr>
          <w:rFonts w:ascii="Times New Roman" w:hAnsi="Times New Roman"/>
          <w:color w:val="000000" w:themeColor="text1"/>
          <w:sz w:val="28"/>
          <w:szCs w:val="28"/>
        </w:rPr>
        <w:t xml:space="preserve"> </w:t>
      </w:r>
      <w:proofErr w:type="spellStart"/>
      <w:r w:rsidRPr="00311B07">
        <w:rPr>
          <w:rFonts w:ascii="Times New Roman" w:hAnsi="Times New Roman"/>
          <w:color w:val="000000" w:themeColor="text1"/>
          <w:sz w:val="28"/>
          <w:szCs w:val="28"/>
        </w:rPr>
        <w:t>дол</w:t>
      </w:r>
      <w:proofErr w:type="spellEnd"/>
      <w:r w:rsidRPr="00311B07">
        <w:rPr>
          <w:rFonts w:ascii="Times New Roman" w:hAnsi="Times New Roman"/>
          <w:color w:val="000000" w:themeColor="text1"/>
          <w:sz w:val="28"/>
          <w:szCs w:val="28"/>
        </w:rPr>
        <w:t xml:space="preserve">. США, </w:t>
      </w:r>
      <w:r w:rsidR="00D56E3A" w:rsidRPr="00311B07">
        <w:rPr>
          <w:rFonts w:ascii="Times New Roman" w:hAnsi="Times New Roman"/>
          <w:color w:val="000000" w:themeColor="text1"/>
          <w:sz w:val="28"/>
          <w:szCs w:val="28"/>
        </w:rPr>
        <w:t>у</w:t>
      </w:r>
      <w:r w:rsidRPr="00311B07">
        <w:rPr>
          <w:rFonts w:ascii="Times New Roman" w:hAnsi="Times New Roman"/>
          <w:color w:val="000000" w:themeColor="text1"/>
          <w:sz w:val="28"/>
          <w:szCs w:val="28"/>
        </w:rPr>
        <w:t xml:space="preserve"> тому числі: </w:t>
      </w:r>
    </w:p>
    <w:p w14:paraId="00C083A2" w14:textId="77777777" w:rsidR="00EE1660" w:rsidRPr="00311B07" w:rsidRDefault="002505E0" w:rsidP="00F90AA0">
      <w:pPr>
        <w:pStyle w:val="a3"/>
        <w:shd w:val="clear" w:color="auto" w:fill="FFFFFF"/>
        <w:spacing w:before="40" w:beforeAutospacing="0" w:after="40" w:afterAutospacing="0"/>
        <w:ind w:left="1069"/>
        <w:jc w:val="both"/>
        <w:rPr>
          <w:sz w:val="28"/>
          <w:szCs w:val="28"/>
        </w:rPr>
      </w:pPr>
      <w:r w:rsidRPr="00311B07">
        <w:rPr>
          <w:sz w:val="28"/>
          <w:szCs w:val="28"/>
        </w:rPr>
        <w:t>державний внутрішній борг – 7</w:t>
      </w:r>
      <w:r w:rsidR="002310EE" w:rsidRPr="00311B07">
        <w:rPr>
          <w:sz w:val="28"/>
          <w:szCs w:val="28"/>
        </w:rPr>
        <w:t>61,1</w:t>
      </w:r>
      <w:r w:rsidRPr="00311B07">
        <w:rPr>
          <w:sz w:val="28"/>
          <w:szCs w:val="28"/>
        </w:rPr>
        <w:t> </w:t>
      </w:r>
      <w:r w:rsidR="007C5214" w:rsidRPr="00311B07">
        <w:rPr>
          <w:sz w:val="28"/>
          <w:szCs w:val="28"/>
        </w:rPr>
        <w:t>млрд</w:t>
      </w:r>
      <w:r w:rsidR="002310EE" w:rsidRPr="00311B07">
        <w:rPr>
          <w:sz w:val="28"/>
          <w:szCs w:val="28"/>
        </w:rPr>
        <w:t xml:space="preserve"> </w:t>
      </w:r>
      <w:r w:rsidR="007C5214" w:rsidRPr="00311B07">
        <w:rPr>
          <w:sz w:val="28"/>
          <w:szCs w:val="28"/>
        </w:rPr>
        <w:t>грн</w:t>
      </w:r>
      <w:r w:rsidR="002310EE" w:rsidRPr="00311B07">
        <w:rPr>
          <w:sz w:val="28"/>
          <w:szCs w:val="28"/>
        </w:rPr>
        <w:t>, або 27,5</w:t>
      </w:r>
      <w:r w:rsidRPr="00311B07">
        <w:rPr>
          <w:sz w:val="28"/>
          <w:szCs w:val="28"/>
        </w:rPr>
        <w:t> </w:t>
      </w:r>
      <w:r w:rsidR="007C5214" w:rsidRPr="00311B07">
        <w:rPr>
          <w:sz w:val="28"/>
          <w:szCs w:val="28"/>
        </w:rPr>
        <w:t>млрд</w:t>
      </w:r>
      <w:r w:rsidRPr="00311B07">
        <w:rPr>
          <w:sz w:val="28"/>
          <w:szCs w:val="28"/>
        </w:rPr>
        <w:t xml:space="preserve"> </w:t>
      </w:r>
      <w:proofErr w:type="spellStart"/>
      <w:r w:rsidRPr="00311B07">
        <w:rPr>
          <w:sz w:val="28"/>
          <w:szCs w:val="28"/>
        </w:rPr>
        <w:t>дол</w:t>
      </w:r>
      <w:proofErr w:type="spellEnd"/>
      <w:r w:rsidRPr="00311B07">
        <w:rPr>
          <w:sz w:val="28"/>
          <w:szCs w:val="28"/>
        </w:rPr>
        <w:t>. США,</w:t>
      </w:r>
      <w:r w:rsidR="002310EE" w:rsidRPr="00311B07">
        <w:rPr>
          <w:sz w:val="28"/>
          <w:szCs w:val="28"/>
        </w:rPr>
        <w:t xml:space="preserve"> </w:t>
      </w:r>
    </w:p>
    <w:p w14:paraId="74869AEA" w14:textId="77777777" w:rsidR="002505E0" w:rsidRPr="00F90AA0" w:rsidRDefault="002310EE" w:rsidP="00F90AA0">
      <w:pPr>
        <w:shd w:val="clear" w:color="auto" w:fill="FFFFFF"/>
        <w:spacing w:after="40"/>
        <w:ind w:firstLine="708"/>
        <w:jc w:val="both"/>
        <w:rPr>
          <w:rFonts w:ascii="Times New Roman" w:eastAsia="Times New Roman" w:hAnsi="Times New Roman" w:cs="Times New Roman"/>
          <w:sz w:val="28"/>
          <w:szCs w:val="28"/>
        </w:rPr>
      </w:pPr>
      <w:r w:rsidRPr="00F90AA0">
        <w:rPr>
          <w:rFonts w:ascii="Times New Roman" w:eastAsia="Times New Roman" w:hAnsi="Times New Roman" w:cs="Times New Roman"/>
          <w:sz w:val="28"/>
          <w:szCs w:val="28"/>
        </w:rPr>
        <w:t>державний зовнішній борг – 1099,4</w:t>
      </w:r>
      <w:r w:rsidR="002505E0" w:rsidRPr="00F90AA0">
        <w:rPr>
          <w:rFonts w:ascii="Times New Roman" w:eastAsia="Times New Roman" w:hAnsi="Times New Roman" w:cs="Times New Roman"/>
          <w:sz w:val="28"/>
          <w:szCs w:val="28"/>
        </w:rPr>
        <w:t> </w:t>
      </w:r>
      <w:r w:rsidR="007C5214" w:rsidRPr="00F90AA0">
        <w:rPr>
          <w:rFonts w:ascii="Times New Roman" w:eastAsia="Times New Roman" w:hAnsi="Times New Roman" w:cs="Times New Roman"/>
          <w:sz w:val="28"/>
          <w:szCs w:val="28"/>
        </w:rPr>
        <w:t>млрд</w:t>
      </w:r>
      <w:r w:rsidR="002505E0" w:rsidRPr="00F90AA0">
        <w:rPr>
          <w:rFonts w:ascii="Times New Roman" w:eastAsia="Times New Roman" w:hAnsi="Times New Roman" w:cs="Times New Roman"/>
          <w:sz w:val="28"/>
          <w:szCs w:val="28"/>
        </w:rPr>
        <w:t xml:space="preserve"> </w:t>
      </w:r>
      <w:r w:rsidR="007C5214" w:rsidRPr="00F90AA0">
        <w:rPr>
          <w:rFonts w:ascii="Times New Roman" w:eastAsia="Times New Roman" w:hAnsi="Times New Roman" w:cs="Times New Roman"/>
          <w:sz w:val="28"/>
          <w:szCs w:val="28"/>
        </w:rPr>
        <w:t>грн</w:t>
      </w:r>
      <w:r w:rsidR="002505E0" w:rsidRPr="00F90AA0">
        <w:rPr>
          <w:rFonts w:ascii="Times New Roman" w:eastAsia="Times New Roman" w:hAnsi="Times New Roman" w:cs="Times New Roman"/>
          <w:sz w:val="28"/>
          <w:szCs w:val="28"/>
        </w:rPr>
        <w:t xml:space="preserve">, </w:t>
      </w:r>
      <w:r w:rsidRPr="00F90AA0">
        <w:rPr>
          <w:rFonts w:ascii="Times New Roman" w:eastAsia="Times New Roman" w:hAnsi="Times New Roman" w:cs="Times New Roman"/>
          <w:sz w:val="28"/>
          <w:szCs w:val="28"/>
        </w:rPr>
        <w:t>або 39</w:t>
      </w:r>
      <w:r w:rsidR="002505E0" w:rsidRPr="00F90AA0">
        <w:rPr>
          <w:rFonts w:ascii="Times New Roman" w:eastAsia="Times New Roman" w:hAnsi="Times New Roman" w:cs="Times New Roman"/>
          <w:sz w:val="28"/>
          <w:szCs w:val="28"/>
        </w:rPr>
        <w:t>,</w:t>
      </w:r>
      <w:r w:rsidRPr="00F90AA0">
        <w:rPr>
          <w:rFonts w:ascii="Times New Roman" w:eastAsia="Times New Roman" w:hAnsi="Times New Roman" w:cs="Times New Roman"/>
          <w:sz w:val="28"/>
          <w:szCs w:val="28"/>
        </w:rPr>
        <w:t>7</w:t>
      </w:r>
      <w:r w:rsidR="007D2B72" w:rsidRPr="00F90AA0">
        <w:rPr>
          <w:rFonts w:ascii="Times New Roman" w:eastAsia="Times New Roman" w:hAnsi="Times New Roman" w:cs="Times New Roman"/>
          <w:sz w:val="28"/>
          <w:szCs w:val="28"/>
        </w:rPr>
        <w:t> </w:t>
      </w:r>
      <w:r w:rsidR="007C5214" w:rsidRPr="00F90AA0">
        <w:rPr>
          <w:rFonts w:ascii="Times New Roman" w:eastAsia="Times New Roman" w:hAnsi="Times New Roman" w:cs="Times New Roman"/>
          <w:sz w:val="28"/>
          <w:szCs w:val="28"/>
        </w:rPr>
        <w:t>млрд</w:t>
      </w:r>
      <w:r w:rsidR="007D2B72" w:rsidRPr="00F90AA0">
        <w:rPr>
          <w:rFonts w:ascii="Times New Roman" w:eastAsia="Times New Roman" w:hAnsi="Times New Roman" w:cs="Times New Roman"/>
          <w:sz w:val="28"/>
          <w:szCs w:val="28"/>
        </w:rPr>
        <w:t> </w:t>
      </w:r>
      <w:proofErr w:type="spellStart"/>
      <w:r w:rsidR="002505E0" w:rsidRPr="00F90AA0">
        <w:rPr>
          <w:rFonts w:ascii="Times New Roman" w:eastAsia="Times New Roman" w:hAnsi="Times New Roman" w:cs="Times New Roman"/>
          <w:sz w:val="28"/>
          <w:szCs w:val="28"/>
        </w:rPr>
        <w:t>дол</w:t>
      </w:r>
      <w:proofErr w:type="spellEnd"/>
      <w:r w:rsidR="002505E0" w:rsidRPr="00F90AA0">
        <w:rPr>
          <w:rFonts w:ascii="Times New Roman" w:eastAsia="Times New Roman" w:hAnsi="Times New Roman" w:cs="Times New Roman"/>
          <w:sz w:val="28"/>
          <w:szCs w:val="28"/>
        </w:rPr>
        <w:t>. США.</w:t>
      </w:r>
    </w:p>
    <w:p w14:paraId="6AF204A2" w14:textId="77777777" w:rsidR="002505E0" w:rsidRPr="00311B07" w:rsidRDefault="002505E0" w:rsidP="00CF1F5D">
      <w:pPr>
        <w:shd w:val="clear" w:color="auto" w:fill="FFFFFF"/>
        <w:spacing w:after="80" w:line="240" w:lineRule="auto"/>
        <w:ind w:right="-1" w:firstLine="709"/>
        <w:jc w:val="both"/>
        <w:rPr>
          <w:rFonts w:ascii="Times New Roman" w:hAnsi="Times New Roman"/>
          <w:sz w:val="28"/>
          <w:szCs w:val="28"/>
        </w:rPr>
      </w:pPr>
      <w:r w:rsidRPr="00311B07">
        <w:rPr>
          <w:rFonts w:ascii="Times New Roman" w:hAnsi="Times New Roman"/>
          <w:sz w:val="28"/>
          <w:szCs w:val="28"/>
        </w:rPr>
        <w:t xml:space="preserve">На кінець </w:t>
      </w:r>
      <w:r w:rsidR="00CF1F8B" w:rsidRPr="00311B07">
        <w:rPr>
          <w:rFonts w:ascii="Times New Roman" w:hAnsi="Times New Roman"/>
          <w:sz w:val="28"/>
          <w:szCs w:val="28"/>
        </w:rPr>
        <w:t>2018</w:t>
      </w:r>
      <w:r w:rsidRPr="00311B07">
        <w:rPr>
          <w:rFonts w:ascii="Times New Roman" w:hAnsi="Times New Roman"/>
          <w:sz w:val="28"/>
          <w:szCs w:val="28"/>
        </w:rPr>
        <w:t xml:space="preserve"> року було забезпечено утримання обсягу державного боргу в межах його граничного рівня.</w:t>
      </w:r>
      <w:r w:rsidR="00532449" w:rsidRPr="00311B07">
        <w:rPr>
          <w:rFonts w:ascii="Times New Roman" w:hAnsi="Times New Roman"/>
          <w:sz w:val="28"/>
          <w:szCs w:val="28"/>
        </w:rPr>
        <w:t xml:space="preserve"> </w:t>
      </w:r>
    </w:p>
    <w:p w14:paraId="61A8A95E" w14:textId="77777777" w:rsidR="00880235" w:rsidRPr="00311B07" w:rsidRDefault="00F562E4" w:rsidP="00D12977">
      <w:pPr>
        <w:shd w:val="clear" w:color="auto" w:fill="FFFFFF"/>
        <w:spacing w:after="80" w:line="240" w:lineRule="auto"/>
        <w:ind w:firstLine="709"/>
        <w:jc w:val="both"/>
        <w:rPr>
          <w:rFonts w:ascii="Times New Roman" w:eastAsia="Times New Roman" w:hAnsi="Times New Roman" w:cs="Times New Roman"/>
          <w:color w:val="000000" w:themeColor="text1"/>
          <w:sz w:val="28"/>
          <w:szCs w:val="28"/>
        </w:rPr>
      </w:pPr>
      <w:r w:rsidRPr="00311B07">
        <w:rPr>
          <w:rFonts w:ascii="Times New Roman" w:eastAsia="Times New Roman" w:hAnsi="Times New Roman" w:cs="Times New Roman"/>
          <w:sz w:val="28"/>
          <w:szCs w:val="28"/>
        </w:rPr>
        <w:t xml:space="preserve">Частка державного </w:t>
      </w:r>
      <w:r w:rsidR="007C5214" w:rsidRPr="00311B07">
        <w:rPr>
          <w:rFonts w:ascii="Times New Roman" w:eastAsia="Times New Roman" w:hAnsi="Times New Roman" w:cs="Times New Roman"/>
          <w:sz w:val="28"/>
          <w:szCs w:val="28"/>
        </w:rPr>
        <w:t xml:space="preserve">внутрішнього </w:t>
      </w:r>
      <w:r w:rsidRPr="00311B07">
        <w:rPr>
          <w:rFonts w:ascii="Times New Roman" w:eastAsia="Times New Roman" w:hAnsi="Times New Roman" w:cs="Times New Roman"/>
          <w:sz w:val="28"/>
          <w:szCs w:val="28"/>
        </w:rPr>
        <w:t xml:space="preserve">боргу у загальній сумі державного боргу на </w:t>
      </w:r>
      <w:r w:rsidR="00D56E3A" w:rsidRPr="00311B07">
        <w:rPr>
          <w:rFonts w:ascii="Times New Roman" w:eastAsia="Times New Roman" w:hAnsi="Times New Roman" w:cs="Times New Roman"/>
          <w:sz w:val="28"/>
          <w:szCs w:val="28"/>
        </w:rPr>
        <w:t xml:space="preserve">кінець </w:t>
      </w:r>
      <w:r w:rsidR="00CF1F8B" w:rsidRPr="00311B07">
        <w:rPr>
          <w:rFonts w:ascii="Times New Roman" w:eastAsia="Times New Roman" w:hAnsi="Times New Roman" w:cs="Times New Roman"/>
          <w:sz w:val="28"/>
          <w:szCs w:val="28"/>
        </w:rPr>
        <w:t>2018</w:t>
      </w:r>
      <w:r w:rsidR="00D56E3A" w:rsidRPr="00311B07">
        <w:rPr>
          <w:rFonts w:ascii="Times New Roman" w:eastAsia="Times New Roman" w:hAnsi="Times New Roman" w:cs="Times New Roman"/>
          <w:sz w:val="28"/>
          <w:szCs w:val="28"/>
        </w:rPr>
        <w:t xml:space="preserve"> року становила </w:t>
      </w:r>
      <w:r w:rsidR="007C5214" w:rsidRPr="00311B07">
        <w:rPr>
          <w:rFonts w:ascii="Times New Roman" w:eastAsia="Times New Roman" w:hAnsi="Times New Roman" w:cs="Times New Roman"/>
          <w:sz w:val="28"/>
          <w:szCs w:val="28"/>
        </w:rPr>
        <w:t>40,9</w:t>
      </w:r>
      <w:r w:rsidRPr="00311B07">
        <w:rPr>
          <w:rFonts w:ascii="Times New Roman" w:eastAsia="Times New Roman" w:hAnsi="Times New Roman" w:cs="Times New Roman"/>
          <w:sz w:val="28"/>
          <w:szCs w:val="28"/>
        </w:rPr>
        <w:t>%</w:t>
      </w:r>
      <w:r w:rsidR="00EE1660" w:rsidRPr="00311B07">
        <w:rPr>
          <w:rFonts w:ascii="Times New Roman" w:eastAsia="Times New Roman" w:hAnsi="Times New Roman" w:cs="Times New Roman"/>
          <w:sz w:val="28"/>
          <w:szCs w:val="28"/>
        </w:rPr>
        <w:t xml:space="preserve"> </w:t>
      </w:r>
      <w:r w:rsidRPr="00311B07">
        <w:rPr>
          <w:rFonts w:ascii="Times New Roman" w:eastAsia="Times New Roman" w:hAnsi="Times New Roman" w:cs="Times New Roman"/>
          <w:sz w:val="28"/>
          <w:szCs w:val="28"/>
        </w:rPr>
        <w:t xml:space="preserve">проти передбачених </w:t>
      </w:r>
      <w:r w:rsidRPr="00311B07">
        <w:rPr>
          <w:rFonts w:ascii="Times New Roman" w:eastAsia="Times New Roman" w:hAnsi="Times New Roman" w:cs="Times New Roman"/>
          <w:color w:val="000000" w:themeColor="text1"/>
          <w:sz w:val="28"/>
          <w:szCs w:val="28"/>
        </w:rPr>
        <w:t xml:space="preserve">Програмою </w:t>
      </w:r>
      <w:r w:rsidR="007C5214" w:rsidRPr="00311B07">
        <w:rPr>
          <w:rFonts w:ascii="Times New Roman" w:eastAsia="Times New Roman" w:hAnsi="Times New Roman" w:cs="Times New Roman"/>
          <w:color w:val="000000" w:themeColor="text1"/>
          <w:sz w:val="28"/>
          <w:szCs w:val="28"/>
        </w:rPr>
        <w:t>33,7%</w:t>
      </w:r>
      <w:r w:rsidRPr="00311B07">
        <w:rPr>
          <w:rFonts w:ascii="Times New Roman" w:eastAsia="Times New Roman" w:hAnsi="Times New Roman" w:cs="Times New Roman"/>
          <w:color w:val="000000" w:themeColor="text1"/>
          <w:sz w:val="28"/>
          <w:szCs w:val="28"/>
        </w:rPr>
        <w:t>.</w:t>
      </w:r>
      <w:r w:rsidR="00EE1660" w:rsidRPr="00311B07">
        <w:rPr>
          <w:rFonts w:ascii="Times New Roman" w:eastAsia="Times New Roman" w:hAnsi="Times New Roman" w:cs="Times New Roman"/>
          <w:color w:val="000000" w:themeColor="text1"/>
          <w:sz w:val="28"/>
          <w:szCs w:val="28"/>
        </w:rPr>
        <w:t xml:space="preserve"> </w:t>
      </w:r>
      <w:r w:rsidR="00880235" w:rsidRPr="00311B07">
        <w:rPr>
          <w:rFonts w:ascii="Times New Roman" w:eastAsia="Times New Roman" w:hAnsi="Times New Roman" w:cs="Times New Roman"/>
          <w:color w:val="000000" w:themeColor="text1"/>
          <w:sz w:val="28"/>
          <w:szCs w:val="28"/>
        </w:rPr>
        <w:t xml:space="preserve">Збільшення частки внутрішнього боргу у загальній сумі державного боргу відповідає цілям і завданням </w:t>
      </w:r>
      <w:r w:rsidR="00BF6251" w:rsidRPr="00311B07">
        <w:rPr>
          <w:rFonts w:ascii="Times New Roman" w:eastAsia="Times New Roman" w:hAnsi="Times New Roman" w:cs="Times New Roman"/>
          <w:color w:val="000000" w:themeColor="text1"/>
          <w:sz w:val="28"/>
          <w:szCs w:val="28"/>
        </w:rPr>
        <w:t xml:space="preserve">ухваленої Кабінетом Міністрів </w:t>
      </w:r>
      <w:hyperlink r:id="rId16" w:history="1">
        <w:r w:rsidR="00880235" w:rsidRPr="00311B07">
          <w:rPr>
            <w:rStyle w:val="af3"/>
            <w:rFonts w:ascii="Times New Roman" w:eastAsia="Times New Roman" w:hAnsi="Times New Roman" w:cs="Times New Roman"/>
            <w:color w:val="000000" w:themeColor="text1"/>
            <w:sz w:val="28"/>
            <w:szCs w:val="28"/>
            <w:u w:val="none"/>
          </w:rPr>
          <w:t xml:space="preserve">Середньострокової стратегії управління державним боргом на 2018 </w:t>
        </w:r>
        <w:r w:rsidR="00E95987" w:rsidRPr="00311B07">
          <w:rPr>
            <w:rStyle w:val="af3"/>
            <w:rFonts w:ascii="Times New Roman" w:eastAsia="Times New Roman" w:hAnsi="Times New Roman" w:cs="Times New Roman"/>
            <w:color w:val="000000" w:themeColor="text1"/>
            <w:sz w:val="28"/>
            <w:szCs w:val="28"/>
            <w:u w:val="none"/>
          </w:rPr>
          <w:t xml:space="preserve">- </w:t>
        </w:r>
        <w:r w:rsidR="00880235" w:rsidRPr="00311B07">
          <w:rPr>
            <w:rStyle w:val="af3"/>
            <w:rFonts w:ascii="Times New Roman" w:eastAsia="Times New Roman" w:hAnsi="Times New Roman" w:cs="Times New Roman"/>
            <w:color w:val="000000" w:themeColor="text1"/>
            <w:sz w:val="28"/>
            <w:szCs w:val="28"/>
            <w:u w:val="none"/>
          </w:rPr>
          <w:t>2020 роки</w:t>
        </w:r>
      </w:hyperlink>
      <w:r w:rsidR="00880235" w:rsidRPr="00311B07">
        <w:rPr>
          <w:rFonts w:ascii="Times New Roman" w:eastAsia="Times New Roman" w:hAnsi="Times New Roman" w:cs="Times New Roman"/>
          <w:color w:val="000000" w:themeColor="text1"/>
          <w:sz w:val="28"/>
          <w:szCs w:val="28"/>
        </w:rPr>
        <w:t>.</w:t>
      </w:r>
    </w:p>
    <w:p w14:paraId="1E76785B" w14:textId="41B06B66" w:rsidR="00F5086C" w:rsidRDefault="00F562E4" w:rsidP="000545FD">
      <w:pPr>
        <w:pStyle w:val="a3"/>
        <w:widowControl w:val="0"/>
        <w:spacing w:before="0" w:beforeAutospacing="0" w:after="80" w:afterAutospacing="0"/>
        <w:ind w:right="-1" w:firstLine="709"/>
        <w:jc w:val="both"/>
        <w:rPr>
          <w:sz w:val="28"/>
          <w:szCs w:val="28"/>
        </w:rPr>
      </w:pPr>
      <w:r w:rsidRPr="00311B07">
        <w:rPr>
          <w:color w:val="000000" w:themeColor="text1"/>
          <w:sz w:val="28"/>
          <w:szCs w:val="28"/>
        </w:rPr>
        <w:t>При цьому питома вага довгострокових боргови</w:t>
      </w:r>
      <w:r w:rsidR="00D56E3A" w:rsidRPr="00311B07">
        <w:rPr>
          <w:color w:val="000000" w:themeColor="text1"/>
          <w:sz w:val="28"/>
          <w:szCs w:val="28"/>
        </w:rPr>
        <w:t xml:space="preserve">х інструментів </w:t>
      </w:r>
      <w:r w:rsidR="00D56E3A" w:rsidRPr="00311B07">
        <w:rPr>
          <w:sz w:val="28"/>
          <w:szCs w:val="28"/>
        </w:rPr>
        <w:t>дорівнювала 7</w:t>
      </w:r>
      <w:r w:rsidR="00383C43" w:rsidRPr="00311B07">
        <w:rPr>
          <w:sz w:val="28"/>
          <w:szCs w:val="28"/>
        </w:rPr>
        <w:t>7</w:t>
      </w:r>
      <w:r w:rsidR="00D56E3A" w:rsidRPr="00311B07">
        <w:rPr>
          <w:sz w:val="28"/>
          <w:szCs w:val="28"/>
        </w:rPr>
        <w:t>,8</w:t>
      </w:r>
      <w:r w:rsidRPr="00311B07">
        <w:rPr>
          <w:sz w:val="28"/>
          <w:szCs w:val="28"/>
        </w:rPr>
        <w:t xml:space="preserve">%, середньострокових – </w:t>
      </w:r>
      <w:r w:rsidR="00383C43" w:rsidRPr="00311B07">
        <w:rPr>
          <w:sz w:val="28"/>
          <w:szCs w:val="28"/>
        </w:rPr>
        <w:t>18</w:t>
      </w:r>
      <w:r w:rsidRPr="00311B07">
        <w:rPr>
          <w:sz w:val="28"/>
          <w:szCs w:val="28"/>
        </w:rPr>
        <w:t>,</w:t>
      </w:r>
      <w:r w:rsidR="00383C43" w:rsidRPr="00311B07">
        <w:rPr>
          <w:sz w:val="28"/>
          <w:szCs w:val="28"/>
        </w:rPr>
        <w:t>4</w:t>
      </w:r>
      <w:r w:rsidRPr="00311B07">
        <w:rPr>
          <w:sz w:val="28"/>
          <w:szCs w:val="28"/>
        </w:rPr>
        <w:t xml:space="preserve">%, короткострокових – </w:t>
      </w:r>
      <w:r w:rsidR="00383C43" w:rsidRPr="00311B07">
        <w:rPr>
          <w:sz w:val="28"/>
          <w:szCs w:val="28"/>
        </w:rPr>
        <w:t>3</w:t>
      </w:r>
      <w:r w:rsidR="00BC07CF" w:rsidRPr="00311B07">
        <w:rPr>
          <w:sz w:val="28"/>
          <w:szCs w:val="28"/>
        </w:rPr>
        <w:t>,</w:t>
      </w:r>
      <w:r w:rsidR="00383C43" w:rsidRPr="00311B07">
        <w:rPr>
          <w:sz w:val="28"/>
          <w:szCs w:val="28"/>
        </w:rPr>
        <w:t>8</w:t>
      </w:r>
      <w:r w:rsidRPr="00311B07">
        <w:rPr>
          <w:sz w:val="28"/>
          <w:szCs w:val="28"/>
        </w:rPr>
        <w:t xml:space="preserve">% (проти передбачених Програмою </w:t>
      </w:r>
      <w:r w:rsidR="00A526A4" w:rsidRPr="00311B07">
        <w:rPr>
          <w:sz w:val="28"/>
          <w:szCs w:val="28"/>
        </w:rPr>
        <w:t>78,5</w:t>
      </w:r>
      <w:r w:rsidRPr="00311B07">
        <w:rPr>
          <w:sz w:val="28"/>
          <w:szCs w:val="28"/>
        </w:rPr>
        <w:t xml:space="preserve">%, </w:t>
      </w:r>
      <w:r w:rsidR="00A526A4" w:rsidRPr="00311B07">
        <w:rPr>
          <w:sz w:val="28"/>
          <w:szCs w:val="28"/>
        </w:rPr>
        <w:t>20,2</w:t>
      </w:r>
      <w:r w:rsidRPr="00311B07">
        <w:rPr>
          <w:sz w:val="28"/>
          <w:szCs w:val="28"/>
        </w:rPr>
        <w:t xml:space="preserve">% та </w:t>
      </w:r>
      <w:r w:rsidR="00A526A4" w:rsidRPr="00311B07">
        <w:rPr>
          <w:sz w:val="28"/>
          <w:szCs w:val="28"/>
        </w:rPr>
        <w:t>1,3</w:t>
      </w:r>
      <w:r w:rsidRPr="00311B07">
        <w:rPr>
          <w:sz w:val="28"/>
          <w:szCs w:val="28"/>
        </w:rPr>
        <w:t>% відповідно)</w:t>
      </w:r>
      <w:r w:rsidR="00275B49" w:rsidRPr="00311B07">
        <w:rPr>
          <w:sz w:val="28"/>
          <w:szCs w:val="28"/>
        </w:rPr>
        <w:t>.</w:t>
      </w:r>
      <w:r w:rsidR="00624987" w:rsidRPr="00311B07">
        <w:rPr>
          <w:sz w:val="28"/>
          <w:szCs w:val="28"/>
        </w:rPr>
        <w:t xml:space="preserve"> </w:t>
      </w:r>
    </w:p>
    <w:p w14:paraId="41F4028A" w14:textId="77777777" w:rsidR="005679FC" w:rsidRPr="00311B07" w:rsidRDefault="005679FC" w:rsidP="00B82C65">
      <w:pPr>
        <w:pStyle w:val="1"/>
        <w:numPr>
          <w:ilvl w:val="0"/>
          <w:numId w:val="15"/>
        </w:numPr>
        <w:rPr>
          <w:b w:val="0"/>
          <w:color w:val="365F91" w:themeColor="accent1" w:themeShade="BF"/>
        </w:rPr>
      </w:pPr>
      <w:r w:rsidRPr="00311B07">
        <w:rPr>
          <w:color w:val="365F91" w:themeColor="accent1" w:themeShade="BF"/>
        </w:rPr>
        <w:t xml:space="preserve">Платежі за державним боргом у </w:t>
      </w:r>
      <w:r w:rsidR="00CF1F8B" w:rsidRPr="00311B07">
        <w:rPr>
          <w:color w:val="365F91" w:themeColor="accent1" w:themeShade="BF"/>
        </w:rPr>
        <w:t>2018</w:t>
      </w:r>
      <w:r w:rsidRPr="00311B07">
        <w:rPr>
          <w:color w:val="365F91" w:themeColor="accent1" w:themeShade="BF"/>
        </w:rPr>
        <w:t xml:space="preserve"> році</w:t>
      </w:r>
    </w:p>
    <w:p w14:paraId="49124CE9" w14:textId="77777777" w:rsidR="001F2C3D" w:rsidRPr="00311B07" w:rsidRDefault="001F2C3D" w:rsidP="000545FD">
      <w:pPr>
        <w:pStyle w:val="a3"/>
        <w:widowControl w:val="0"/>
        <w:spacing w:before="0" w:beforeAutospacing="0" w:after="80" w:afterAutospacing="0"/>
        <w:ind w:right="-1" w:firstLine="709"/>
        <w:jc w:val="both"/>
        <w:rPr>
          <w:sz w:val="28"/>
          <w:szCs w:val="28"/>
        </w:rPr>
      </w:pPr>
      <w:r w:rsidRPr="00311B07">
        <w:rPr>
          <w:sz w:val="28"/>
          <w:szCs w:val="28"/>
        </w:rPr>
        <w:t xml:space="preserve">Протягом </w:t>
      </w:r>
      <w:r w:rsidR="00CF1F8B" w:rsidRPr="00311B07">
        <w:rPr>
          <w:sz w:val="28"/>
          <w:szCs w:val="28"/>
        </w:rPr>
        <w:t>2018</w:t>
      </w:r>
      <w:r w:rsidRPr="00311B07">
        <w:rPr>
          <w:sz w:val="28"/>
          <w:szCs w:val="28"/>
        </w:rPr>
        <w:t xml:space="preserve"> року погашення та обслуговування державного боргу здійснювалось вчасно та в повних обсягах. </w:t>
      </w:r>
    </w:p>
    <w:p w14:paraId="5E1D6C3F" w14:textId="77777777" w:rsidR="00BF6251" w:rsidRPr="00311B07" w:rsidRDefault="001F0991" w:rsidP="000545FD">
      <w:pPr>
        <w:shd w:val="clear" w:color="auto" w:fill="FFFFFF"/>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Фактичні в</w:t>
      </w:r>
      <w:r w:rsidR="00037F0C" w:rsidRPr="00311B07">
        <w:rPr>
          <w:rFonts w:ascii="Times New Roman" w:hAnsi="Times New Roman" w:cs="Times New Roman"/>
          <w:sz w:val="28"/>
          <w:szCs w:val="28"/>
        </w:rPr>
        <w:t xml:space="preserve">итрати державного бюджету з погашення та обслуговування державного боргу </w:t>
      </w:r>
      <w:r w:rsidR="007D2B72" w:rsidRPr="00311B07">
        <w:rPr>
          <w:rFonts w:ascii="Times New Roman" w:hAnsi="Times New Roman" w:cs="Times New Roman"/>
          <w:sz w:val="28"/>
          <w:szCs w:val="28"/>
        </w:rPr>
        <w:t>в</w:t>
      </w:r>
      <w:r w:rsidR="00037F0C" w:rsidRPr="00311B07">
        <w:rPr>
          <w:rFonts w:ascii="Times New Roman" w:hAnsi="Times New Roman" w:cs="Times New Roman"/>
          <w:sz w:val="28"/>
          <w:szCs w:val="28"/>
        </w:rPr>
        <w:t xml:space="preserve"> </w:t>
      </w:r>
      <w:r w:rsidR="00CF1F8B" w:rsidRPr="00311B07">
        <w:rPr>
          <w:rFonts w:ascii="Times New Roman" w:hAnsi="Times New Roman" w:cs="Times New Roman"/>
          <w:sz w:val="28"/>
          <w:szCs w:val="28"/>
        </w:rPr>
        <w:t>2018</w:t>
      </w:r>
      <w:r w:rsidR="00037F0C" w:rsidRPr="00311B07">
        <w:rPr>
          <w:rFonts w:ascii="Times New Roman" w:hAnsi="Times New Roman" w:cs="Times New Roman"/>
          <w:sz w:val="28"/>
          <w:szCs w:val="28"/>
        </w:rPr>
        <w:t xml:space="preserve"> році становили </w:t>
      </w:r>
      <w:r w:rsidR="00AF794B" w:rsidRPr="00311B07">
        <w:rPr>
          <w:rFonts w:ascii="Times New Roman" w:hAnsi="Times New Roman" w:cs="Times New Roman"/>
          <w:sz w:val="28"/>
          <w:szCs w:val="28"/>
        </w:rPr>
        <w:t>349,9</w:t>
      </w:r>
      <w:r w:rsidR="00037F0C" w:rsidRPr="00311B07">
        <w:rPr>
          <w:rFonts w:ascii="Times New Roman" w:hAnsi="Times New Roman" w:cs="Times New Roman"/>
          <w:sz w:val="28"/>
          <w:szCs w:val="28"/>
        </w:rPr>
        <w:t> </w:t>
      </w:r>
      <w:r w:rsidR="007C5214" w:rsidRPr="00311B07">
        <w:rPr>
          <w:rFonts w:ascii="Times New Roman" w:hAnsi="Times New Roman" w:cs="Times New Roman"/>
          <w:sz w:val="28"/>
          <w:szCs w:val="28"/>
        </w:rPr>
        <w:t>млрд</w:t>
      </w:r>
      <w:r w:rsidR="00037F0C"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грн</w:t>
      </w:r>
      <w:r w:rsidR="00BF6251" w:rsidRPr="00311B07">
        <w:rPr>
          <w:rFonts w:ascii="Times New Roman" w:hAnsi="Times New Roman" w:cs="Times New Roman"/>
          <w:sz w:val="28"/>
          <w:szCs w:val="28"/>
        </w:rPr>
        <w:t xml:space="preserve"> порівняно із передбаченими в Програмі витратами у сумі 305,9 млрд грн:</w:t>
      </w:r>
    </w:p>
    <w:p w14:paraId="29CE926B" w14:textId="09EBD86C" w:rsidR="00BF6251" w:rsidRPr="00311B07" w:rsidRDefault="00BF6B40" w:rsidP="0056668F">
      <w:pPr>
        <w:pStyle w:val="a3"/>
        <w:numPr>
          <w:ilvl w:val="0"/>
          <w:numId w:val="16"/>
        </w:numPr>
        <w:shd w:val="clear" w:color="auto" w:fill="FFFFFF"/>
        <w:tabs>
          <w:tab w:val="left" w:pos="993"/>
        </w:tabs>
        <w:spacing w:before="120" w:beforeAutospacing="0" w:after="120" w:afterAutospacing="0"/>
        <w:ind w:left="0" w:firstLine="709"/>
        <w:jc w:val="both"/>
        <w:rPr>
          <w:sz w:val="28"/>
          <w:szCs w:val="28"/>
        </w:rPr>
      </w:pPr>
      <w:r w:rsidRPr="00311B07">
        <w:rPr>
          <w:sz w:val="28"/>
          <w:szCs w:val="28"/>
        </w:rPr>
        <w:t>платежі</w:t>
      </w:r>
      <w:r w:rsidR="001F0991" w:rsidRPr="00311B07">
        <w:rPr>
          <w:sz w:val="28"/>
          <w:szCs w:val="28"/>
        </w:rPr>
        <w:t xml:space="preserve"> за </w:t>
      </w:r>
      <w:r w:rsidR="00383C43" w:rsidRPr="00311B07">
        <w:rPr>
          <w:sz w:val="28"/>
          <w:szCs w:val="28"/>
        </w:rPr>
        <w:t xml:space="preserve">державним </w:t>
      </w:r>
      <w:r w:rsidR="001F0991" w:rsidRPr="00311B07">
        <w:rPr>
          <w:sz w:val="28"/>
          <w:szCs w:val="28"/>
        </w:rPr>
        <w:t xml:space="preserve">внутрішнім боргом </w:t>
      </w:r>
      <w:r w:rsidR="00BF6251" w:rsidRPr="00311B07">
        <w:rPr>
          <w:sz w:val="28"/>
          <w:szCs w:val="28"/>
        </w:rPr>
        <w:t>становили</w:t>
      </w:r>
      <w:r w:rsidR="001F0991" w:rsidRPr="00311B07">
        <w:rPr>
          <w:sz w:val="28"/>
          <w:szCs w:val="28"/>
        </w:rPr>
        <w:t xml:space="preserve"> </w:t>
      </w:r>
      <w:r w:rsidR="00102524" w:rsidRPr="00311B07">
        <w:rPr>
          <w:sz w:val="28"/>
          <w:szCs w:val="28"/>
        </w:rPr>
        <w:t>240,6</w:t>
      </w:r>
      <w:r w:rsidRPr="00311B07">
        <w:rPr>
          <w:sz w:val="28"/>
          <w:szCs w:val="28"/>
        </w:rPr>
        <w:t xml:space="preserve"> </w:t>
      </w:r>
      <w:r w:rsidR="007C5214" w:rsidRPr="00311B07">
        <w:rPr>
          <w:sz w:val="28"/>
          <w:szCs w:val="28"/>
        </w:rPr>
        <w:t>млрд</w:t>
      </w:r>
      <w:r w:rsidRPr="00311B07">
        <w:rPr>
          <w:sz w:val="28"/>
          <w:szCs w:val="28"/>
        </w:rPr>
        <w:t> </w:t>
      </w:r>
      <w:r w:rsidR="007C5214" w:rsidRPr="00311B07">
        <w:rPr>
          <w:sz w:val="28"/>
          <w:szCs w:val="28"/>
        </w:rPr>
        <w:t>грн</w:t>
      </w:r>
      <w:r w:rsidR="00BF6251" w:rsidRPr="00311B07">
        <w:rPr>
          <w:sz w:val="28"/>
          <w:szCs w:val="28"/>
        </w:rPr>
        <w:t xml:space="preserve"> порівняно із запланованими 193,4 млрд гр</w:t>
      </w:r>
      <w:r w:rsidR="00404976">
        <w:rPr>
          <w:sz w:val="28"/>
          <w:szCs w:val="28"/>
        </w:rPr>
        <w:t>ивень.</w:t>
      </w:r>
      <w:r w:rsidR="00BF6251" w:rsidRPr="00311B07">
        <w:rPr>
          <w:sz w:val="28"/>
          <w:szCs w:val="28"/>
        </w:rPr>
        <w:t xml:space="preserve"> </w:t>
      </w:r>
      <w:r w:rsidR="00B3044D">
        <w:rPr>
          <w:sz w:val="28"/>
          <w:szCs w:val="28"/>
        </w:rPr>
        <w:t>Причинами розбіжності стало</w:t>
      </w:r>
      <w:r w:rsidR="00404976">
        <w:rPr>
          <w:sz w:val="28"/>
          <w:szCs w:val="28"/>
        </w:rPr>
        <w:t xml:space="preserve"> </w:t>
      </w:r>
      <w:r w:rsidR="00BF6251" w:rsidRPr="00311B07">
        <w:rPr>
          <w:sz w:val="28"/>
          <w:szCs w:val="28"/>
        </w:rPr>
        <w:t xml:space="preserve">збільшення </w:t>
      </w:r>
      <w:r w:rsidR="00B3044D">
        <w:rPr>
          <w:sz w:val="28"/>
          <w:szCs w:val="28"/>
        </w:rPr>
        <w:t>плану державних</w:t>
      </w:r>
      <w:r w:rsidR="00404976">
        <w:rPr>
          <w:sz w:val="28"/>
          <w:szCs w:val="28"/>
        </w:rPr>
        <w:t xml:space="preserve"> запозичень </w:t>
      </w:r>
      <w:r w:rsidR="00B3044D">
        <w:rPr>
          <w:sz w:val="28"/>
          <w:szCs w:val="28"/>
        </w:rPr>
        <w:t>для компенсації</w:t>
      </w:r>
      <w:r w:rsidR="00404976">
        <w:rPr>
          <w:sz w:val="28"/>
          <w:szCs w:val="28"/>
        </w:rPr>
        <w:t xml:space="preserve"> </w:t>
      </w:r>
      <w:r w:rsidR="00BF6251" w:rsidRPr="00311B07">
        <w:rPr>
          <w:sz w:val="28"/>
          <w:szCs w:val="28"/>
        </w:rPr>
        <w:t>не</w:t>
      </w:r>
      <w:r w:rsidR="00404976">
        <w:rPr>
          <w:sz w:val="28"/>
          <w:szCs w:val="28"/>
        </w:rPr>
        <w:t>до</w:t>
      </w:r>
      <w:r w:rsidR="00BF6251" w:rsidRPr="00311B07">
        <w:rPr>
          <w:sz w:val="28"/>
          <w:szCs w:val="28"/>
        </w:rPr>
        <w:t xml:space="preserve">отриманих </w:t>
      </w:r>
      <w:r w:rsidR="00BF6251" w:rsidRPr="00311B07">
        <w:rPr>
          <w:sz w:val="28"/>
          <w:szCs w:val="28"/>
        </w:rPr>
        <w:lastRenderedPageBreak/>
        <w:t>надходжень від приватизації</w:t>
      </w:r>
      <w:r w:rsidR="00404976">
        <w:rPr>
          <w:sz w:val="28"/>
          <w:szCs w:val="28"/>
        </w:rPr>
        <w:t>, а також</w:t>
      </w:r>
      <w:r w:rsidR="00BF6251" w:rsidRPr="00311B07">
        <w:rPr>
          <w:sz w:val="28"/>
          <w:szCs w:val="28"/>
        </w:rPr>
        <w:t xml:space="preserve"> </w:t>
      </w:r>
      <w:r w:rsidR="00B3044D">
        <w:rPr>
          <w:sz w:val="28"/>
          <w:szCs w:val="28"/>
        </w:rPr>
        <w:t>збільшення частки короткострокових запозичень (в тому числі з погашенням у поточному році) внаслідок зменшення ринкового попиту на довгострокові та середньострокові інструменти</w:t>
      </w:r>
      <w:r w:rsidR="00CF1F5D" w:rsidRPr="00311B07">
        <w:rPr>
          <w:sz w:val="28"/>
          <w:szCs w:val="28"/>
        </w:rPr>
        <w:t>;</w:t>
      </w:r>
    </w:p>
    <w:p w14:paraId="74D3CB10" w14:textId="05A3FEDC" w:rsidR="00990994" w:rsidRPr="00311B07" w:rsidRDefault="00BF6B40" w:rsidP="00CF1F5D">
      <w:pPr>
        <w:pStyle w:val="a3"/>
        <w:numPr>
          <w:ilvl w:val="0"/>
          <w:numId w:val="16"/>
        </w:numPr>
        <w:shd w:val="clear" w:color="auto" w:fill="FFFFFF"/>
        <w:tabs>
          <w:tab w:val="left" w:pos="993"/>
        </w:tabs>
        <w:spacing w:before="120" w:beforeAutospacing="0" w:after="120" w:afterAutospacing="0"/>
        <w:ind w:left="0" w:firstLine="709"/>
        <w:jc w:val="both"/>
        <w:rPr>
          <w:sz w:val="28"/>
          <w:szCs w:val="28"/>
        </w:rPr>
      </w:pPr>
      <w:r w:rsidRPr="00311B07">
        <w:rPr>
          <w:sz w:val="28"/>
          <w:szCs w:val="28"/>
        </w:rPr>
        <w:t xml:space="preserve">платежі за </w:t>
      </w:r>
      <w:r w:rsidR="00383C43" w:rsidRPr="00311B07">
        <w:rPr>
          <w:sz w:val="28"/>
          <w:szCs w:val="28"/>
        </w:rPr>
        <w:t xml:space="preserve">державним </w:t>
      </w:r>
      <w:r w:rsidRPr="00311B07">
        <w:rPr>
          <w:sz w:val="28"/>
          <w:szCs w:val="28"/>
        </w:rPr>
        <w:t xml:space="preserve">зовнішнім боргом </w:t>
      </w:r>
      <w:r w:rsidR="00BF6251" w:rsidRPr="00311B07">
        <w:rPr>
          <w:sz w:val="28"/>
          <w:szCs w:val="28"/>
        </w:rPr>
        <w:t>склали</w:t>
      </w:r>
      <w:r w:rsidRPr="00311B07">
        <w:rPr>
          <w:sz w:val="28"/>
          <w:szCs w:val="28"/>
        </w:rPr>
        <w:t xml:space="preserve"> </w:t>
      </w:r>
      <w:r w:rsidR="00102524" w:rsidRPr="00311B07">
        <w:rPr>
          <w:sz w:val="28"/>
          <w:szCs w:val="28"/>
        </w:rPr>
        <w:t>109,3</w:t>
      </w:r>
      <w:r w:rsidRPr="00311B07">
        <w:rPr>
          <w:sz w:val="28"/>
          <w:szCs w:val="28"/>
        </w:rPr>
        <w:t> </w:t>
      </w:r>
      <w:r w:rsidR="007C5214" w:rsidRPr="00311B07">
        <w:rPr>
          <w:sz w:val="28"/>
          <w:szCs w:val="28"/>
        </w:rPr>
        <w:t>млрд</w:t>
      </w:r>
      <w:r w:rsidRPr="00311B07">
        <w:rPr>
          <w:sz w:val="28"/>
          <w:szCs w:val="28"/>
        </w:rPr>
        <w:t> гр</w:t>
      </w:r>
      <w:r w:rsidR="00BF6251" w:rsidRPr="00311B07">
        <w:rPr>
          <w:sz w:val="28"/>
          <w:szCs w:val="28"/>
        </w:rPr>
        <w:t>н, що менше за плановані 112,6 млрд грн через міцніший курс гривні</w:t>
      </w:r>
      <w:r w:rsidR="002751F5" w:rsidRPr="00311B07">
        <w:rPr>
          <w:sz w:val="28"/>
          <w:szCs w:val="28"/>
        </w:rPr>
        <w:t xml:space="preserve"> (середній курс за рік фактично становив 27,2 грн за долар США проти </w:t>
      </w:r>
      <w:r w:rsidR="00410686" w:rsidRPr="00311B07">
        <w:rPr>
          <w:sz w:val="28"/>
          <w:szCs w:val="28"/>
        </w:rPr>
        <w:t xml:space="preserve">прогнозного, що використовувався при складанні державного бюджету </w:t>
      </w:r>
      <w:r w:rsidR="002751F5" w:rsidRPr="00311B07">
        <w:rPr>
          <w:sz w:val="28"/>
          <w:szCs w:val="28"/>
        </w:rPr>
        <w:t>у 30,1 грн за долар США)</w:t>
      </w:r>
      <w:r w:rsidR="00BF6251" w:rsidRPr="00311B07">
        <w:rPr>
          <w:sz w:val="28"/>
          <w:szCs w:val="28"/>
        </w:rPr>
        <w:t xml:space="preserve">. Водночас </w:t>
      </w:r>
      <w:r w:rsidR="001E3770">
        <w:rPr>
          <w:sz w:val="28"/>
          <w:szCs w:val="28"/>
        </w:rPr>
        <w:t>У</w:t>
      </w:r>
      <w:r w:rsidR="00BF6251" w:rsidRPr="00311B07">
        <w:rPr>
          <w:sz w:val="28"/>
          <w:szCs w:val="28"/>
        </w:rPr>
        <w:t>ряд достроково погасив короткострокові ОЗДП</w:t>
      </w:r>
      <w:r w:rsidR="002751F5" w:rsidRPr="00311B07">
        <w:rPr>
          <w:sz w:val="28"/>
          <w:szCs w:val="28"/>
        </w:rPr>
        <w:t>, випущені у серпні</w:t>
      </w:r>
      <w:r w:rsidR="00BF6251" w:rsidRPr="00311B07">
        <w:rPr>
          <w:sz w:val="28"/>
          <w:szCs w:val="28"/>
        </w:rPr>
        <w:t xml:space="preserve"> 2018 року</w:t>
      </w:r>
      <w:r w:rsidR="00990994" w:rsidRPr="00311B07">
        <w:rPr>
          <w:sz w:val="28"/>
          <w:szCs w:val="28"/>
        </w:rPr>
        <w:t>.</w:t>
      </w:r>
    </w:p>
    <w:p w14:paraId="7C222DDA" w14:textId="77777777" w:rsidR="00614540" w:rsidRPr="00311B07" w:rsidRDefault="00614540" w:rsidP="00311B07">
      <w:pPr>
        <w:shd w:val="clear" w:color="auto" w:fill="FFFFFF"/>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Обсяг платежів з погашення державного боргу становив 234,5 млрд грн (проти 175,7 млрд грн, передбачених Програмою), з яких</w:t>
      </w:r>
      <w:r w:rsidR="0056668F" w:rsidRPr="00311B07">
        <w:rPr>
          <w:rFonts w:ascii="Times New Roman" w:eastAsia="Times New Roman" w:hAnsi="Times New Roman" w:cs="Times New Roman"/>
          <w:sz w:val="28"/>
          <w:szCs w:val="28"/>
        </w:rPr>
        <w:t>:</w:t>
      </w:r>
    </w:p>
    <w:p w14:paraId="46460CF0" w14:textId="77777777" w:rsidR="00614540" w:rsidRPr="00311B07" w:rsidRDefault="00614540" w:rsidP="00117A84">
      <w:pPr>
        <w:shd w:val="clear" w:color="auto" w:fill="FFFFFF"/>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платежі з погашення державного внутрішнього боргу –166,9 млрд грн, або 71,2% (проти запланованих 114,0 млрд грн, або 64,9%); </w:t>
      </w:r>
    </w:p>
    <w:p w14:paraId="086B4010" w14:textId="77777777" w:rsidR="00614540" w:rsidRPr="00311B07" w:rsidRDefault="00614540" w:rsidP="00117A84">
      <w:pPr>
        <w:shd w:val="clear" w:color="auto" w:fill="FFFFFF"/>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платежі з погашення державного зовнішнього боргу – 67,6 млрд грн, або 28,8% (проти запланованих 61,7 млрд грн, або 35,1% відповідно). </w:t>
      </w:r>
    </w:p>
    <w:p w14:paraId="1585565E" w14:textId="77777777" w:rsidR="00614540" w:rsidRPr="00311B07" w:rsidRDefault="005679FC" w:rsidP="00311B07">
      <w:pPr>
        <w:shd w:val="clear" w:color="auto" w:fill="FFFFFF"/>
        <w:spacing w:before="120"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Виплати з обслуговування державного боргу </w:t>
      </w:r>
      <w:r w:rsidR="001A2B6B" w:rsidRPr="00311B07">
        <w:rPr>
          <w:rFonts w:ascii="Times New Roman" w:eastAsia="Times New Roman" w:hAnsi="Times New Roman" w:cs="Times New Roman"/>
          <w:sz w:val="28"/>
          <w:szCs w:val="28"/>
        </w:rPr>
        <w:t xml:space="preserve">були передбачені Програмою в обсязі </w:t>
      </w:r>
      <w:r w:rsidR="00A526A4" w:rsidRPr="00311B07">
        <w:rPr>
          <w:rFonts w:ascii="Times New Roman" w:eastAsia="Times New Roman" w:hAnsi="Times New Roman" w:cs="Times New Roman"/>
          <w:sz w:val="28"/>
          <w:szCs w:val="28"/>
        </w:rPr>
        <w:t>130,2</w:t>
      </w:r>
      <w:r w:rsidR="001A2B6B"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млрд</w:t>
      </w:r>
      <w:r w:rsidR="001A2B6B" w:rsidRPr="00311B07">
        <w:rPr>
          <w:rFonts w:ascii="Times New Roman" w:eastAsia="Times New Roman" w:hAnsi="Times New Roman" w:cs="Times New Roman"/>
          <w:sz w:val="28"/>
          <w:szCs w:val="28"/>
        </w:rPr>
        <w:t xml:space="preserve"> </w:t>
      </w:r>
      <w:r w:rsidR="007C5214" w:rsidRPr="00311B07">
        <w:rPr>
          <w:rFonts w:ascii="Times New Roman" w:eastAsia="Times New Roman" w:hAnsi="Times New Roman" w:cs="Times New Roman"/>
          <w:sz w:val="28"/>
          <w:szCs w:val="28"/>
        </w:rPr>
        <w:t>грн</w:t>
      </w:r>
      <w:r w:rsidR="001A2B6B" w:rsidRPr="00311B07">
        <w:rPr>
          <w:rFonts w:ascii="Times New Roman" w:eastAsia="Times New Roman" w:hAnsi="Times New Roman" w:cs="Times New Roman"/>
          <w:sz w:val="28"/>
          <w:szCs w:val="28"/>
        </w:rPr>
        <w:t xml:space="preserve">, </w:t>
      </w:r>
      <w:r w:rsidR="007C4FE7" w:rsidRPr="00311B07">
        <w:rPr>
          <w:rFonts w:ascii="Times New Roman" w:eastAsia="Times New Roman" w:hAnsi="Times New Roman" w:cs="Times New Roman"/>
          <w:sz w:val="28"/>
          <w:szCs w:val="28"/>
        </w:rPr>
        <w:t xml:space="preserve">а </w:t>
      </w:r>
      <w:r w:rsidR="001A2B6B" w:rsidRPr="00311B07">
        <w:rPr>
          <w:rFonts w:ascii="Times New Roman" w:eastAsia="Times New Roman" w:hAnsi="Times New Roman" w:cs="Times New Roman"/>
          <w:sz w:val="28"/>
          <w:szCs w:val="28"/>
        </w:rPr>
        <w:t xml:space="preserve">фактично </w:t>
      </w:r>
      <w:r w:rsidR="00D56E3A" w:rsidRPr="00311B07">
        <w:rPr>
          <w:rFonts w:ascii="Times New Roman" w:eastAsia="Times New Roman" w:hAnsi="Times New Roman" w:cs="Times New Roman"/>
          <w:sz w:val="28"/>
          <w:szCs w:val="28"/>
        </w:rPr>
        <w:t>становили</w:t>
      </w:r>
      <w:r w:rsidR="001A2B6B" w:rsidRPr="00311B07">
        <w:rPr>
          <w:rFonts w:ascii="Times New Roman" w:eastAsia="Times New Roman" w:hAnsi="Times New Roman" w:cs="Times New Roman"/>
          <w:sz w:val="28"/>
          <w:szCs w:val="28"/>
        </w:rPr>
        <w:t xml:space="preserve"> </w:t>
      </w:r>
      <w:r w:rsidR="00F25C93" w:rsidRPr="00311B07">
        <w:rPr>
          <w:rFonts w:ascii="Times New Roman" w:eastAsia="Times New Roman" w:hAnsi="Times New Roman" w:cs="Times New Roman"/>
          <w:sz w:val="28"/>
          <w:szCs w:val="28"/>
        </w:rPr>
        <w:t>115,4</w:t>
      </w:r>
      <w:r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млрд</w:t>
      </w:r>
      <w:r w:rsidR="001A2B6B"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грн</w:t>
      </w:r>
      <w:r w:rsidR="000A1797" w:rsidRPr="00311B07">
        <w:rPr>
          <w:rFonts w:ascii="Times New Roman" w:eastAsia="Times New Roman" w:hAnsi="Times New Roman" w:cs="Times New Roman"/>
          <w:sz w:val="28"/>
          <w:szCs w:val="28"/>
        </w:rPr>
        <w:t xml:space="preserve"> (або 88,6</w:t>
      </w:r>
      <w:r w:rsidR="001A2B6B" w:rsidRPr="00311B07">
        <w:rPr>
          <w:rFonts w:ascii="Times New Roman" w:eastAsia="Times New Roman" w:hAnsi="Times New Roman" w:cs="Times New Roman"/>
          <w:sz w:val="28"/>
          <w:szCs w:val="28"/>
        </w:rPr>
        <w:t>%</w:t>
      </w:r>
      <w:r w:rsidR="00275B49" w:rsidRPr="00311B07">
        <w:rPr>
          <w:rFonts w:ascii="Times New Roman" w:eastAsia="Times New Roman" w:hAnsi="Times New Roman" w:cs="Times New Roman"/>
          <w:sz w:val="28"/>
          <w:szCs w:val="28"/>
        </w:rPr>
        <w:t xml:space="preserve"> плану</w:t>
      </w:r>
      <w:r w:rsidR="001A2B6B" w:rsidRPr="00311B07">
        <w:rPr>
          <w:rFonts w:ascii="Times New Roman" w:eastAsia="Times New Roman" w:hAnsi="Times New Roman" w:cs="Times New Roman"/>
          <w:sz w:val="28"/>
          <w:szCs w:val="28"/>
        </w:rPr>
        <w:t>)</w:t>
      </w:r>
      <w:r w:rsidR="00614540" w:rsidRPr="00311B07">
        <w:rPr>
          <w:rFonts w:ascii="Times New Roman" w:eastAsia="Times New Roman" w:hAnsi="Times New Roman" w:cs="Times New Roman"/>
          <w:sz w:val="28"/>
          <w:szCs w:val="28"/>
        </w:rPr>
        <w:t>, з</w:t>
      </w:r>
      <w:r w:rsidR="001A2B6B" w:rsidRPr="00311B07">
        <w:rPr>
          <w:rFonts w:ascii="Times New Roman" w:eastAsia="Times New Roman" w:hAnsi="Times New Roman" w:cs="Times New Roman"/>
          <w:sz w:val="28"/>
          <w:szCs w:val="28"/>
        </w:rPr>
        <w:t xml:space="preserve"> </w:t>
      </w:r>
      <w:r w:rsidR="00614540" w:rsidRPr="00311B07">
        <w:rPr>
          <w:rFonts w:ascii="Times New Roman" w:eastAsia="Times New Roman" w:hAnsi="Times New Roman" w:cs="Times New Roman"/>
          <w:sz w:val="28"/>
          <w:szCs w:val="28"/>
        </w:rPr>
        <w:t>яких:</w:t>
      </w:r>
    </w:p>
    <w:p w14:paraId="374F2299" w14:textId="77777777" w:rsidR="00614540" w:rsidRPr="00311B07" w:rsidRDefault="005679FC" w:rsidP="00117A84">
      <w:pPr>
        <w:shd w:val="clear" w:color="auto" w:fill="FFFFFF"/>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виплати за державним внутрішнім боргом </w:t>
      </w:r>
      <w:r w:rsidR="00614540" w:rsidRPr="00311B07">
        <w:rPr>
          <w:rFonts w:ascii="Times New Roman" w:eastAsia="Times New Roman" w:hAnsi="Times New Roman" w:cs="Times New Roman"/>
          <w:sz w:val="28"/>
          <w:szCs w:val="28"/>
        </w:rPr>
        <w:t xml:space="preserve">– </w:t>
      </w:r>
      <w:r w:rsidR="00173EC3" w:rsidRPr="00311B07">
        <w:rPr>
          <w:rFonts w:ascii="Times New Roman" w:eastAsia="Times New Roman" w:hAnsi="Times New Roman" w:cs="Times New Roman"/>
          <w:sz w:val="28"/>
          <w:szCs w:val="28"/>
        </w:rPr>
        <w:t>73,7</w:t>
      </w:r>
      <w:r w:rsidR="00A370E7"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млрд</w:t>
      </w:r>
      <w:r w:rsidR="001A2B6B"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грн</w:t>
      </w:r>
      <w:r w:rsidRPr="00311B07">
        <w:rPr>
          <w:rFonts w:ascii="Times New Roman" w:eastAsia="Times New Roman" w:hAnsi="Times New Roman" w:cs="Times New Roman"/>
          <w:sz w:val="28"/>
          <w:szCs w:val="28"/>
        </w:rPr>
        <w:t xml:space="preserve"> (</w:t>
      </w:r>
      <w:r w:rsidR="00173EC3" w:rsidRPr="00311B07">
        <w:rPr>
          <w:rFonts w:ascii="Times New Roman" w:eastAsia="Times New Roman" w:hAnsi="Times New Roman" w:cs="Times New Roman"/>
          <w:sz w:val="28"/>
          <w:szCs w:val="28"/>
        </w:rPr>
        <w:t>63,9</w:t>
      </w:r>
      <w:r w:rsidRPr="00311B07">
        <w:rPr>
          <w:rFonts w:ascii="Times New Roman" w:eastAsia="Times New Roman" w:hAnsi="Times New Roman" w:cs="Times New Roman"/>
          <w:sz w:val="28"/>
          <w:szCs w:val="28"/>
        </w:rPr>
        <w:t xml:space="preserve">%), </w:t>
      </w:r>
    </w:p>
    <w:p w14:paraId="71EF283D" w14:textId="74E4EC87" w:rsidR="005679FC" w:rsidRDefault="00614540" w:rsidP="00117A84">
      <w:pPr>
        <w:shd w:val="clear" w:color="auto" w:fill="FFFFFF"/>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виплати </w:t>
      </w:r>
      <w:r w:rsidR="005679FC" w:rsidRPr="00311B07">
        <w:rPr>
          <w:rFonts w:ascii="Times New Roman" w:eastAsia="Times New Roman" w:hAnsi="Times New Roman" w:cs="Times New Roman"/>
          <w:sz w:val="28"/>
          <w:szCs w:val="28"/>
        </w:rPr>
        <w:t xml:space="preserve">за державним зовнішнім боргом – </w:t>
      </w:r>
      <w:r w:rsidR="00173EC3" w:rsidRPr="00311B07">
        <w:rPr>
          <w:rFonts w:ascii="Times New Roman" w:eastAsia="Times New Roman" w:hAnsi="Times New Roman" w:cs="Times New Roman"/>
          <w:sz w:val="28"/>
          <w:szCs w:val="28"/>
        </w:rPr>
        <w:t>41,7</w:t>
      </w:r>
      <w:r w:rsidR="007D2B72" w:rsidRPr="00311B07">
        <w:rPr>
          <w:rFonts w:ascii="Times New Roman" w:eastAsia="Times New Roman" w:hAnsi="Times New Roman" w:cs="Times New Roman"/>
          <w:sz w:val="28"/>
          <w:szCs w:val="28"/>
        </w:rPr>
        <w:t> </w:t>
      </w:r>
      <w:r w:rsidR="007C5214" w:rsidRPr="00311B07">
        <w:rPr>
          <w:rFonts w:ascii="Times New Roman" w:eastAsia="Times New Roman" w:hAnsi="Times New Roman" w:cs="Times New Roman"/>
          <w:sz w:val="28"/>
          <w:szCs w:val="28"/>
        </w:rPr>
        <w:t>млрд</w:t>
      </w:r>
      <w:r w:rsidR="005679FC" w:rsidRPr="00311B07">
        <w:rPr>
          <w:rFonts w:ascii="Times New Roman" w:eastAsia="Times New Roman" w:hAnsi="Times New Roman" w:cs="Times New Roman"/>
          <w:sz w:val="28"/>
          <w:szCs w:val="28"/>
        </w:rPr>
        <w:t> </w:t>
      </w:r>
      <w:r w:rsidR="007D2B72" w:rsidRPr="00311B07">
        <w:rPr>
          <w:rFonts w:ascii="Times New Roman" w:eastAsia="Times New Roman" w:hAnsi="Times New Roman" w:cs="Times New Roman"/>
          <w:sz w:val="28"/>
          <w:szCs w:val="28"/>
        </w:rPr>
        <w:t xml:space="preserve">грн </w:t>
      </w:r>
      <w:r w:rsidR="005679FC" w:rsidRPr="00311B07">
        <w:rPr>
          <w:rFonts w:ascii="Times New Roman" w:eastAsia="Times New Roman" w:hAnsi="Times New Roman" w:cs="Times New Roman"/>
          <w:sz w:val="28"/>
          <w:szCs w:val="28"/>
        </w:rPr>
        <w:t>(</w:t>
      </w:r>
      <w:r w:rsidR="00173EC3" w:rsidRPr="00311B07">
        <w:rPr>
          <w:rFonts w:ascii="Times New Roman" w:eastAsia="Times New Roman" w:hAnsi="Times New Roman" w:cs="Times New Roman"/>
          <w:sz w:val="28"/>
          <w:szCs w:val="28"/>
        </w:rPr>
        <w:t>36</w:t>
      </w:r>
      <w:r w:rsidR="00A526A4" w:rsidRPr="00311B07">
        <w:rPr>
          <w:rFonts w:ascii="Times New Roman" w:eastAsia="Times New Roman" w:hAnsi="Times New Roman" w:cs="Times New Roman"/>
          <w:sz w:val="28"/>
          <w:szCs w:val="28"/>
        </w:rPr>
        <w:t>,1</w:t>
      </w:r>
      <w:r w:rsidR="005679FC" w:rsidRPr="00311B07">
        <w:rPr>
          <w:rFonts w:ascii="Times New Roman" w:eastAsia="Times New Roman" w:hAnsi="Times New Roman" w:cs="Times New Roman"/>
          <w:sz w:val="28"/>
          <w:szCs w:val="28"/>
        </w:rPr>
        <w:t xml:space="preserve">%). </w:t>
      </w:r>
    </w:p>
    <w:p w14:paraId="7EE79222" w14:textId="42457BC2" w:rsidR="00BC7304" w:rsidRPr="00311B07" w:rsidRDefault="00BC7304" w:rsidP="00EC7FCB">
      <w:pPr>
        <w:pStyle w:val="1"/>
        <w:numPr>
          <w:ilvl w:val="0"/>
          <w:numId w:val="15"/>
        </w:numPr>
        <w:jc w:val="both"/>
        <w:rPr>
          <w:b w:val="0"/>
          <w:bCs w:val="0"/>
          <w:color w:val="365F91" w:themeColor="accent1" w:themeShade="BF"/>
        </w:rPr>
      </w:pPr>
      <w:r w:rsidRPr="00311B07">
        <w:rPr>
          <w:color w:val="365F91" w:themeColor="accent1" w:themeShade="BF"/>
        </w:rPr>
        <w:t xml:space="preserve">Боргові </w:t>
      </w:r>
      <w:r w:rsidR="00EC7FCB">
        <w:rPr>
          <w:color w:val="365F91" w:themeColor="accent1" w:themeShade="BF"/>
        </w:rPr>
        <w:t>і</w:t>
      </w:r>
      <w:r w:rsidRPr="00311B07">
        <w:rPr>
          <w:color w:val="365F91" w:themeColor="accent1" w:themeShade="BF"/>
        </w:rPr>
        <w:t xml:space="preserve">нструменти, за допомогою яких забезпечувалося фінансування Державного бюджету України у </w:t>
      </w:r>
      <w:r w:rsidR="00CF1F8B" w:rsidRPr="00311B07">
        <w:rPr>
          <w:color w:val="365F91" w:themeColor="accent1" w:themeShade="BF"/>
        </w:rPr>
        <w:t>2018</w:t>
      </w:r>
      <w:r w:rsidRPr="00311B07">
        <w:rPr>
          <w:color w:val="365F91" w:themeColor="accent1" w:themeShade="BF"/>
        </w:rPr>
        <w:t xml:space="preserve"> році</w:t>
      </w:r>
    </w:p>
    <w:p w14:paraId="14DE2ACD" w14:textId="6D66DB5E" w:rsidR="00BD0FE6" w:rsidRPr="00311B07" w:rsidRDefault="00A37095" w:rsidP="000545FD">
      <w:pPr>
        <w:shd w:val="clear" w:color="auto" w:fill="FFFFFF"/>
        <w:spacing w:after="80" w:line="240" w:lineRule="auto"/>
        <w:ind w:firstLine="539"/>
        <w:jc w:val="both"/>
        <w:rPr>
          <w:rFonts w:ascii="Times New Roman" w:eastAsia="Calibri" w:hAnsi="Times New Roman" w:cs="Times New Roman"/>
          <w:sz w:val="28"/>
          <w:szCs w:val="28"/>
          <w:lang w:eastAsia="en-US"/>
        </w:rPr>
      </w:pPr>
      <w:r w:rsidRPr="00311B07">
        <w:rPr>
          <w:rFonts w:ascii="Times New Roman" w:eastAsia="Calibri" w:hAnsi="Times New Roman" w:cs="Times New Roman"/>
          <w:sz w:val="28"/>
          <w:szCs w:val="28"/>
          <w:lang w:eastAsia="en-US"/>
        </w:rPr>
        <w:t xml:space="preserve">Програмою відповідно до </w:t>
      </w:r>
      <w:r w:rsidR="00BD0FE6" w:rsidRPr="00311B07">
        <w:rPr>
          <w:rFonts w:ascii="Times New Roman" w:eastAsia="Calibri" w:hAnsi="Times New Roman" w:cs="Times New Roman"/>
          <w:sz w:val="28"/>
          <w:szCs w:val="28"/>
          <w:lang w:eastAsia="en-US"/>
        </w:rPr>
        <w:t>Закон</w:t>
      </w:r>
      <w:r w:rsidRPr="00311B07">
        <w:rPr>
          <w:rFonts w:ascii="Times New Roman" w:eastAsia="Calibri" w:hAnsi="Times New Roman" w:cs="Times New Roman"/>
          <w:sz w:val="28"/>
          <w:szCs w:val="28"/>
          <w:lang w:eastAsia="en-US"/>
        </w:rPr>
        <w:t>у</w:t>
      </w:r>
      <w:r w:rsidR="00BD0FE6" w:rsidRPr="00311B07">
        <w:rPr>
          <w:rFonts w:ascii="Times New Roman" w:eastAsia="Calibri" w:hAnsi="Times New Roman" w:cs="Times New Roman"/>
          <w:sz w:val="28"/>
          <w:szCs w:val="28"/>
          <w:lang w:eastAsia="en-US"/>
        </w:rPr>
        <w:t xml:space="preserve"> України «Про Державний бюджет України на </w:t>
      </w:r>
      <w:r w:rsidR="00CF1F8B" w:rsidRPr="00311B07">
        <w:rPr>
          <w:rFonts w:ascii="Times New Roman" w:eastAsia="Calibri" w:hAnsi="Times New Roman" w:cs="Times New Roman"/>
          <w:sz w:val="28"/>
          <w:szCs w:val="28"/>
          <w:lang w:eastAsia="en-US"/>
        </w:rPr>
        <w:t>2018</w:t>
      </w:r>
      <w:r w:rsidR="00BD0FE6" w:rsidRPr="00311B07">
        <w:rPr>
          <w:rFonts w:ascii="Times New Roman" w:eastAsia="Calibri" w:hAnsi="Times New Roman" w:cs="Times New Roman"/>
          <w:sz w:val="28"/>
          <w:szCs w:val="28"/>
          <w:lang w:eastAsia="en-US"/>
        </w:rPr>
        <w:t xml:space="preserve"> рік» були передбачені державні запозичення в обсязі </w:t>
      </w:r>
      <w:r w:rsidR="00477730" w:rsidRPr="00311B07">
        <w:rPr>
          <w:rFonts w:ascii="Times New Roman" w:hAnsi="Times New Roman"/>
          <w:spacing w:val="-4"/>
          <w:sz w:val="28"/>
        </w:rPr>
        <w:t>232,0</w:t>
      </w:r>
      <w:r w:rsidR="00D3177E" w:rsidRPr="00311B07">
        <w:rPr>
          <w:rFonts w:ascii="Times New Roman" w:hAnsi="Times New Roman"/>
          <w:spacing w:val="-4"/>
          <w:sz w:val="28"/>
        </w:rPr>
        <w:t> </w:t>
      </w:r>
      <w:r w:rsidR="007C5214" w:rsidRPr="00311B07">
        <w:rPr>
          <w:rFonts w:ascii="Times New Roman" w:hAnsi="Times New Roman"/>
          <w:spacing w:val="-4"/>
          <w:sz w:val="28"/>
        </w:rPr>
        <w:t>млрд</w:t>
      </w:r>
      <w:r w:rsidR="00D3177E" w:rsidRPr="00311B07">
        <w:rPr>
          <w:rFonts w:ascii="Times New Roman" w:hAnsi="Times New Roman"/>
          <w:spacing w:val="-4"/>
          <w:sz w:val="28"/>
        </w:rPr>
        <w:t> </w:t>
      </w:r>
      <w:r w:rsidR="007C5214" w:rsidRPr="00311B07">
        <w:rPr>
          <w:rFonts w:ascii="Times New Roman" w:hAnsi="Times New Roman"/>
          <w:spacing w:val="-4"/>
          <w:sz w:val="28"/>
        </w:rPr>
        <w:t>грн</w:t>
      </w:r>
      <w:r w:rsidR="00477730" w:rsidRPr="00311B07">
        <w:rPr>
          <w:rFonts w:ascii="Times New Roman" w:hAnsi="Times New Roman"/>
          <w:spacing w:val="-4"/>
          <w:sz w:val="28"/>
        </w:rPr>
        <w:t xml:space="preserve"> </w:t>
      </w:r>
      <w:r w:rsidR="00EC7FCB">
        <w:rPr>
          <w:rFonts w:ascii="Times New Roman" w:hAnsi="Times New Roman"/>
          <w:spacing w:val="-4"/>
          <w:sz w:val="28"/>
        </w:rPr>
        <w:t>у</w:t>
      </w:r>
      <w:r w:rsidR="00477730" w:rsidRPr="00311B07">
        <w:rPr>
          <w:rFonts w:ascii="Times New Roman" w:hAnsi="Times New Roman"/>
          <w:spacing w:val="-4"/>
          <w:sz w:val="28"/>
        </w:rPr>
        <w:t xml:space="preserve"> тому числі до спеціа</w:t>
      </w:r>
      <w:r w:rsidR="00D3177E" w:rsidRPr="00311B07">
        <w:rPr>
          <w:rFonts w:ascii="Times New Roman" w:hAnsi="Times New Roman"/>
          <w:spacing w:val="-4"/>
          <w:sz w:val="28"/>
        </w:rPr>
        <w:t xml:space="preserve">льного фонду державного бюджету – </w:t>
      </w:r>
      <w:r w:rsidR="00477730" w:rsidRPr="00311B07">
        <w:rPr>
          <w:rFonts w:ascii="Times New Roman" w:hAnsi="Times New Roman"/>
          <w:spacing w:val="-4"/>
          <w:sz w:val="28"/>
        </w:rPr>
        <w:t>17,0</w:t>
      </w:r>
      <w:r w:rsidR="00D3177E" w:rsidRPr="00311B07">
        <w:rPr>
          <w:rFonts w:ascii="Times New Roman" w:hAnsi="Times New Roman"/>
          <w:spacing w:val="-4"/>
          <w:sz w:val="28"/>
        </w:rPr>
        <w:t> </w:t>
      </w:r>
      <w:r w:rsidR="007C5214" w:rsidRPr="00311B07">
        <w:rPr>
          <w:rFonts w:ascii="Times New Roman" w:hAnsi="Times New Roman"/>
          <w:spacing w:val="-4"/>
          <w:sz w:val="28"/>
        </w:rPr>
        <w:t>млрд</w:t>
      </w:r>
      <w:r w:rsidR="00D3177E" w:rsidRPr="00311B07">
        <w:rPr>
          <w:rFonts w:ascii="Times New Roman" w:hAnsi="Times New Roman"/>
          <w:spacing w:val="-4"/>
          <w:sz w:val="28"/>
        </w:rPr>
        <w:t xml:space="preserve"> </w:t>
      </w:r>
      <w:r w:rsidR="007C5214" w:rsidRPr="00311B07">
        <w:rPr>
          <w:rFonts w:ascii="Times New Roman" w:hAnsi="Times New Roman"/>
          <w:spacing w:val="-4"/>
          <w:sz w:val="28"/>
        </w:rPr>
        <w:t>грн</w:t>
      </w:r>
      <w:r w:rsidR="00D3177E" w:rsidRPr="00311B07">
        <w:rPr>
          <w:rFonts w:ascii="Times New Roman" w:hAnsi="Times New Roman"/>
          <w:spacing w:val="-4"/>
          <w:sz w:val="28"/>
        </w:rPr>
        <w:t xml:space="preserve">), з яких державні внутрішні запозичення – в обсязі </w:t>
      </w:r>
      <w:r w:rsidR="00A107FF" w:rsidRPr="00311B07">
        <w:rPr>
          <w:rFonts w:ascii="Times New Roman" w:hAnsi="Times New Roman"/>
          <w:spacing w:val="-4"/>
          <w:sz w:val="28"/>
        </w:rPr>
        <w:t>123,8</w:t>
      </w:r>
      <w:r w:rsidR="00D3177E" w:rsidRPr="00311B07">
        <w:rPr>
          <w:rFonts w:ascii="Times New Roman" w:hAnsi="Times New Roman"/>
          <w:spacing w:val="-4"/>
          <w:sz w:val="28"/>
        </w:rPr>
        <w:t> </w:t>
      </w:r>
      <w:r w:rsidR="007C5214" w:rsidRPr="00311B07">
        <w:rPr>
          <w:rFonts w:ascii="Times New Roman" w:hAnsi="Times New Roman"/>
          <w:spacing w:val="-4"/>
          <w:sz w:val="28"/>
        </w:rPr>
        <w:t>млрд</w:t>
      </w:r>
      <w:r w:rsidR="00D3177E" w:rsidRPr="00311B07">
        <w:rPr>
          <w:rFonts w:ascii="Times New Roman" w:hAnsi="Times New Roman"/>
          <w:spacing w:val="-4"/>
          <w:sz w:val="28"/>
        </w:rPr>
        <w:t> </w:t>
      </w:r>
      <w:r w:rsidR="007C5214" w:rsidRPr="00311B07">
        <w:rPr>
          <w:rFonts w:ascii="Times New Roman" w:hAnsi="Times New Roman"/>
          <w:spacing w:val="-4"/>
          <w:sz w:val="28"/>
        </w:rPr>
        <w:t>грн</w:t>
      </w:r>
      <w:r w:rsidR="00D3177E" w:rsidRPr="00311B07">
        <w:rPr>
          <w:rFonts w:ascii="Times New Roman" w:hAnsi="Times New Roman"/>
          <w:spacing w:val="-4"/>
          <w:sz w:val="28"/>
        </w:rPr>
        <w:t>,</w:t>
      </w:r>
      <w:r w:rsidR="00D3177E" w:rsidRPr="00311B07">
        <w:rPr>
          <w:rFonts w:ascii="Times New Roman" w:hAnsi="Times New Roman"/>
          <w:sz w:val="28"/>
          <w:szCs w:val="28"/>
        </w:rPr>
        <w:t xml:space="preserve"> державні зовнішні запозичення – </w:t>
      </w:r>
      <w:r w:rsidR="00A107FF" w:rsidRPr="00311B07">
        <w:rPr>
          <w:rFonts w:ascii="Times New Roman" w:hAnsi="Times New Roman"/>
          <w:sz w:val="28"/>
          <w:szCs w:val="28"/>
        </w:rPr>
        <w:t>108,2</w:t>
      </w:r>
      <w:r w:rsidR="00D3177E" w:rsidRPr="00311B07">
        <w:rPr>
          <w:rFonts w:ascii="Times New Roman" w:hAnsi="Times New Roman"/>
          <w:sz w:val="28"/>
          <w:szCs w:val="28"/>
        </w:rPr>
        <w:t> </w:t>
      </w:r>
      <w:r w:rsidR="007C5214" w:rsidRPr="00311B07">
        <w:rPr>
          <w:rFonts w:ascii="Times New Roman" w:hAnsi="Times New Roman"/>
          <w:sz w:val="28"/>
          <w:szCs w:val="28"/>
        </w:rPr>
        <w:t>млрд</w:t>
      </w:r>
      <w:r w:rsidR="001A2B6B" w:rsidRPr="00311B07">
        <w:rPr>
          <w:rFonts w:ascii="Times New Roman" w:hAnsi="Times New Roman"/>
          <w:sz w:val="28"/>
          <w:szCs w:val="28"/>
        </w:rPr>
        <w:t> </w:t>
      </w:r>
      <w:r w:rsidR="00D3177E" w:rsidRPr="00311B07">
        <w:rPr>
          <w:rFonts w:ascii="Times New Roman" w:hAnsi="Times New Roman"/>
          <w:sz w:val="28"/>
          <w:szCs w:val="28"/>
        </w:rPr>
        <w:t>гривень.</w:t>
      </w:r>
    </w:p>
    <w:p w14:paraId="2A1CA51C" w14:textId="77777777" w:rsidR="00846892" w:rsidRPr="00311B07" w:rsidRDefault="00846892" w:rsidP="000545FD">
      <w:pPr>
        <w:shd w:val="clear" w:color="auto" w:fill="FFFFFF"/>
        <w:spacing w:after="80" w:line="240" w:lineRule="auto"/>
        <w:ind w:right="-1" w:firstLine="709"/>
        <w:jc w:val="both"/>
        <w:rPr>
          <w:rFonts w:ascii="Times New Roman" w:eastAsia="Times New Roman" w:hAnsi="Times New Roman"/>
          <w:sz w:val="28"/>
          <w:szCs w:val="28"/>
        </w:rPr>
      </w:pPr>
      <w:r w:rsidRPr="00311B07">
        <w:rPr>
          <w:rFonts w:ascii="Times New Roman" w:hAnsi="Times New Roman"/>
          <w:sz w:val="28"/>
          <w:szCs w:val="28"/>
        </w:rPr>
        <w:t xml:space="preserve">Протягом </w:t>
      </w:r>
      <w:r w:rsidR="00CF1F8B" w:rsidRPr="00311B07">
        <w:rPr>
          <w:rFonts w:ascii="Times New Roman" w:hAnsi="Times New Roman"/>
          <w:sz w:val="28"/>
          <w:szCs w:val="28"/>
        </w:rPr>
        <w:t>2018</w:t>
      </w:r>
      <w:r w:rsidRPr="00311B07">
        <w:rPr>
          <w:rFonts w:ascii="Times New Roman" w:hAnsi="Times New Roman"/>
          <w:sz w:val="28"/>
          <w:szCs w:val="28"/>
        </w:rPr>
        <w:t xml:space="preserve"> року річний плановий показник державних запозичень </w:t>
      </w:r>
      <w:r w:rsidR="00377EED" w:rsidRPr="00311B07">
        <w:rPr>
          <w:rFonts w:ascii="Times New Roman" w:hAnsi="Times New Roman"/>
          <w:sz w:val="28"/>
          <w:szCs w:val="28"/>
        </w:rPr>
        <w:t xml:space="preserve">було </w:t>
      </w:r>
      <w:r w:rsidRPr="00311B07">
        <w:rPr>
          <w:rFonts w:ascii="Times New Roman" w:hAnsi="Times New Roman"/>
          <w:sz w:val="28"/>
          <w:szCs w:val="28"/>
        </w:rPr>
        <w:t xml:space="preserve">збільшено на </w:t>
      </w:r>
      <w:r w:rsidR="00D12977" w:rsidRPr="00311B07">
        <w:rPr>
          <w:rFonts w:ascii="Times New Roman" w:hAnsi="Times New Roman"/>
          <w:sz w:val="28"/>
          <w:szCs w:val="28"/>
        </w:rPr>
        <w:t>76,4</w:t>
      </w:r>
      <w:r w:rsidRPr="00311B07">
        <w:rPr>
          <w:rFonts w:ascii="Times New Roman" w:hAnsi="Times New Roman"/>
          <w:sz w:val="28"/>
          <w:szCs w:val="28"/>
        </w:rPr>
        <w:t> </w:t>
      </w:r>
      <w:r w:rsidR="007C5214" w:rsidRPr="00311B07">
        <w:rPr>
          <w:rFonts w:ascii="Times New Roman" w:hAnsi="Times New Roman"/>
          <w:sz w:val="28"/>
          <w:szCs w:val="28"/>
        </w:rPr>
        <w:t>млрд</w:t>
      </w:r>
      <w:r w:rsidRPr="00311B07">
        <w:rPr>
          <w:rFonts w:ascii="Times New Roman" w:hAnsi="Times New Roman"/>
          <w:sz w:val="28"/>
          <w:szCs w:val="28"/>
        </w:rPr>
        <w:t> </w:t>
      </w:r>
      <w:r w:rsidR="007C5214" w:rsidRPr="00311B07">
        <w:rPr>
          <w:rFonts w:ascii="Times New Roman" w:hAnsi="Times New Roman"/>
          <w:sz w:val="28"/>
          <w:szCs w:val="28"/>
        </w:rPr>
        <w:t>грн</w:t>
      </w:r>
      <w:r w:rsidR="00D56E3A" w:rsidRPr="00311B07">
        <w:rPr>
          <w:rFonts w:ascii="Times New Roman" w:hAnsi="Times New Roman"/>
          <w:sz w:val="28"/>
          <w:szCs w:val="28"/>
        </w:rPr>
        <w:t>,</w:t>
      </w:r>
      <w:r w:rsidRPr="00311B07">
        <w:rPr>
          <w:rFonts w:ascii="Times New Roman" w:hAnsi="Times New Roman"/>
          <w:sz w:val="28"/>
          <w:szCs w:val="28"/>
        </w:rPr>
        <w:t xml:space="preserve"> до </w:t>
      </w:r>
      <w:r w:rsidR="00C7445D" w:rsidRPr="00311B07">
        <w:rPr>
          <w:rFonts w:ascii="Times New Roman" w:hAnsi="Times New Roman"/>
          <w:bCs/>
          <w:sz w:val="28"/>
          <w:szCs w:val="28"/>
        </w:rPr>
        <w:t>308,4</w:t>
      </w:r>
      <w:r w:rsidRPr="00311B07">
        <w:rPr>
          <w:rFonts w:ascii="Times New Roman" w:hAnsi="Times New Roman"/>
          <w:bCs/>
          <w:sz w:val="28"/>
          <w:szCs w:val="28"/>
        </w:rPr>
        <w:t> </w:t>
      </w:r>
      <w:r w:rsidR="007C5214" w:rsidRPr="00311B07">
        <w:rPr>
          <w:rFonts w:ascii="Times New Roman" w:hAnsi="Times New Roman"/>
          <w:sz w:val="28"/>
          <w:szCs w:val="28"/>
        </w:rPr>
        <w:t>млрд</w:t>
      </w:r>
      <w:r w:rsidRPr="00311B07">
        <w:rPr>
          <w:rFonts w:ascii="Times New Roman" w:hAnsi="Times New Roman"/>
          <w:sz w:val="28"/>
          <w:szCs w:val="28"/>
        </w:rPr>
        <w:t> </w:t>
      </w:r>
      <w:r w:rsidR="007C5214" w:rsidRPr="00311B07">
        <w:rPr>
          <w:rFonts w:ascii="Times New Roman" w:hAnsi="Times New Roman"/>
          <w:sz w:val="28"/>
          <w:szCs w:val="28"/>
        </w:rPr>
        <w:t>грн</w:t>
      </w:r>
      <w:r w:rsidRPr="00311B07">
        <w:rPr>
          <w:rFonts w:ascii="Times New Roman" w:hAnsi="Times New Roman"/>
          <w:sz w:val="28"/>
          <w:szCs w:val="28"/>
        </w:rPr>
        <w:t xml:space="preserve"> </w:t>
      </w:r>
      <w:r w:rsidRPr="00311B07">
        <w:rPr>
          <w:rFonts w:ascii="Times New Roman" w:hAnsi="Times New Roman"/>
          <w:spacing w:val="-4"/>
          <w:sz w:val="28"/>
        </w:rPr>
        <w:t>(в тому числі до загального фонду державного бюджету –</w:t>
      </w:r>
      <w:r w:rsidR="003D6802" w:rsidRPr="00311B07">
        <w:rPr>
          <w:rFonts w:ascii="Times New Roman" w:hAnsi="Times New Roman"/>
          <w:spacing w:val="-4"/>
          <w:sz w:val="28"/>
        </w:rPr>
        <w:t xml:space="preserve"> </w:t>
      </w:r>
      <w:r w:rsidR="00250ACB" w:rsidRPr="00311B07">
        <w:rPr>
          <w:rFonts w:ascii="Times New Roman" w:hAnsi="Times New Roman"/>
          <w:spacing w:val="-4"/>
          <w:sz w:val="28"/>
        </w:rPr>
        <w:t>288,9</w:t>
      </w:r>
      <w:r w:rsidR="003D6802" w:rsidRPr="00311B07">
        <w:rPr>
          <w:rFonts w:ascii="Times New Roman" w:hAnsi="Times New Roman"/>
          <w:spacing w:val="-4"/>
          <w:sz w:val="28"/>
        </w:rPr>
        <w:t xml:space="preserve"> </w:t>
      </w:r>
      <w:r w:rsidR="007C5214" w:rsidRPr="00311B07">
        <w:rPr>
          <w:rFonts w:ascii="Times New Roman" w:hAnsi="Times New Roman"/>
          <w:spacing w:val="-4"/>
          <w:sz w:val="28"/>
        </w:rPr>
        <w:t>млрд</w:t>
      </w:r>
      <w:r w:rsidRPr="00311B07">
        <w:rPr>
          <w:rFonts w:ascii="Times New Roman" w:hAnsi="Times New Roman"/>
          <w:spacing w:val="-4"/>
          <w:sz w:val="28"/>
        </w:rPr>
        <w:t xml:space="preserve"> </w:t>
      </w:r>
      <w:r w:rsidR="007C5214" w:rsidRPr="00311B07">
        <w:rPr>
          <w:rFonts w:ascii="Times New Roman" w:hAnsi="Times New Roman"/>
          <w:spacing w:val="-4"/>
          <w:sz w:val="28"/>
        </w:rPr>
        <w:t>грн</w:t>
      </w:r>
      <w:r w:rsidRPr="00311B07">
        <w:rPr>
          <w:rFonts w:ascii="Times New Roman" w:hAnsi="Times New Roman"/>
          <w:spacing w:val="-4"/>
          <w:sz w:val="28"/>
        </w:rPr>
        <w:t>)</w:t>
      </w:r>
      <w:r w:rsidRPr="00311B07">
        <w:rPr>
          <w:rFonts w:ascii="Times New Roman" w:hAnsi="Times New Roman"/>
          <w:sz w:val="28"/>
          <w:szCs w:val="28"/>
        </w:rPr>
        <w:t xml:space="preserve">, з яких державні внутрішні запозичення </w:t>
      </w:r>
      <w:r w:rsidRPr="00311B07">
        <w:rPr>
          <w:rFonts w:ascii="Times New Roman" w:hAnsi="Times New Roman"/>
          <w:spacing w:val="-4"/>
          <w:sz w:val="28"/>
        </w:rPr>
        <w:t>передбачались в обсязі</w:t>
      </w:r>
      <w:r w:rsidRPr="00311B07">
        <w:rPr>
          <w:rFonts w:ascii="Times New Roman" w:hAnsi="Times New Roman"/>
          <w:sz w:val="28"/>
          <w:szCs w:val="28"/>
        </w:rPr>
        <w:t xml:space="preserve"> </w:t>
      </w:r>
      <w:r w:rsidR="00BD45D9" w:rsidRPr="00311B07">
        <w:rPr>
          <w:rFonts w:ascii="Times New Roman" w:hAnsi="Times New Roman"/>
          <w:bCs/>
          <w:sz w:val="28"/>
          <w:szCs w:val="28"/>
        </w:rPr>
        <w:t>178,2</w:t>
      </w:r>
      <w:r w:rsidRPr="00311B07">
        <w:rPr>
          <w:rFonts w:ascii="Times New Roman" w:hAnsi="Times New Roman"/>
          <w:bCs/>
          <w:sz w:val="28"/>
          <w:szCs w:val="28"/>
        </w:rPr>
        <w:t> </w:t>
      </w:r>
      <w:r w:rsidR="007C5214" w:rsidRPr="00311B07">
        <w:rPr>
          <w:rFonts w:ascii="Times New Roman" w:hAnsi="Times New Roman"/>
          <w:sz w:val="28"/>
          <w:szCs w:val="28"/>
        </w:rPr>
        <w:t>млрд</w:t>
      </w:r>
      <w:r w:rsidRPr="00311B07">
        <w:rPr>
          <w:rFonts w:ascii="Times New Roman" w:hAnsi="Times New Roman"/>
          <w:sz w:val="28"/>
          <w:szCs w:val="28"/>
        </w:rPr>
        <w:t> </w:t>
      </w:r>
      <w:r w:rsidR="007C5214" w:rsidRPr="00311B07">
        <w:rPr>
          <w:rFonts w:ascii="Times New Roman" w:hAnsi="Times New Roman"/>
          <w:sz w:val="28"/>
          <w:szCs w:val="28"/>
        </w:rPr>
        <w:t>грн</w:t>
      </w:r>
      <w:r w:rsidRPr="00311B07">
        <w:rPr>
          <w:rFonts w:ascii="Times New Roman" w:hAnsi="Times New Roman"/>
          <w:sz w:val="28"/>
          <w:szCs w:val="28"/>
        </w:rPr>
        <w:t xml:space="preserve">, державні зовнішні запозичення – </w:t>
      </w:r>
      <w:r w:rsidR="00BD45D9" w:rsidRPr="00311B07">
        <w:rPr>
          <w:rFonts w:ascii="Times New Roman" w:hAnsi="Times New Roman"/>
          <w:sz w:val="28"/>
          <w:szCs w:val="28"/>
        </w:rPr>
        <w:t>130,2</w:t>
      </w:r>
      <w:r w:rsidRPr="00311B07">
        <w:rPr>
          <w:rFonts w:ascii="Times New Roman" w:hAnsi="Times New Roman"/>
          <w:sz w:val="28"/>
          <w:szCs w:val="28"/>
        </w:rPr>
        <w:t> </w:t>
      </w:r>
      <w:r w:rsidR="007C5214" w:rsidRPr="00311B07">
        <w:rPr>
          <w:rFonts w:ascii="Times New Roman" w:hAnsi="Times New Roman"/>
          <w:sz w:val="28"/>
          <w:szCs w:val="28"/>
        </w:rPr>
        <w:t>млрд</w:t>
      </w:r>
      <w:r w:rsidRPr="00311B07">
        <w:rPr>
          <w:rFonts w:ascii="Times New Roman" w:hAnsi="Times New Roman"/>
          <w:sz w:val="28"/>
          <w:szCs w:val="28"/>
        </w:rPr>
        <w:t xml:space="preserve"> гривень.</w:t>
      </w:r>
    </w:p>
    <w:p w14:paraId="27F6E436" w14:textId="77777777" w:rsidR="00846892" w:rsidRPr="00311B07" w:rsidRDefault="00846892" w:rsidP="000545FD">
      <w:pPr>
        <w:spacing w:after="80" w:line="240" w:lineRule="auto"/>
        <w:ind w:right="-1" w:firstLine="709"/>
        <w:jc w:val="both"/>
        <w:rPr>
          <w:rFonts w:ascii="Times New Roman" w:eastAsia="Times New Roman" w:hAnsi="Times New Roman"/>
          <w:sz w:val="28"/>
          <w:szCs w:val="28"/>
        </w:rPr>
      </w:pPr>
      <w:r w:rsidRPr="00311B07">
        <w:rPr>
          <w:rFonts w:ascii="Times New Roman" w:hAnsi="Times New Roman"/>
          <w:spacing w:val="-8"/>
          <w:sz w:val="28"/>
        </w:rPr>
        <w:t xml:space="preserve">Фактично державних запозичень у </w:t>
      </w:r>
      <w:r w:rsidR="00CF1F8B" w:rsidRPr="00311B07">
        <w:rPr>
          <w:rFonts w:ascii="Times New Roman" w:hAnsi="Times New Roman"/>
          <w:spacing w:val="-8"/>
          <w:sz w:val="28"/>
        </w:rPr>
        <w:t>2018</w:t>
      </w:r>
      <w:r w:rsidRPr="00311B07">
        <w:rPr>
          <w:rFonts w:ascii="Times New Roman" w:hAnsi="Times New Roman"/>
          <w:spacing w:val="-8"/>
          <w:sz w:val="28"/>
        </w:rPr>
        <w:t xml:space="preserve"> році здійснено на суму</w:t>
      </w:r>
      <w:r w:rsidR="00D1074D" w:rsidRPr="00311B07">
        <w:rPr>
          <w:rFonts w:ascii="Times New Roman" w:hAnsi="Times New Roman"/>
          <w:spacing w:val="-8"/>
          <w:sz w:val="28"/>
        </w:rPr>
        <w:t xml:space="preserve"> 286,6</w:t>
      </w:r>
      <w:r w:rsidRPr="00311B07">
        <w:rPr>
          <w:rFonts w:ascii="Times New Roman" w:hAnsi="Times New Roman"/>
          <w:spacing w:val="-8"/>
          <w:sz w:val="28"/>
        </w:rPr>
        <w:t> </w:t>
      </w:r>
      <w:r w:rsidR="007C5214" w:rsidRPr="00311B07">
        <w:rPr>
          <w:rFonts w:ascii="Times New Roman" w:hAnsi="Times New Roman"/>
          <w:spacing w:val="-8"/>
          <w:sz w:val="28"/>
        </w:rPr>
        <w:t>млрд</w:t>
      </w:r>
      <w:r w:rsidRPr="00311B07">
        <w:rPr>
          <w:rFonts w:ascii="Times New Roman" w:hAnsi="Times New Roman"/>
          <w:spacing w:val="-8"/>
          <w:sz w:val="28"/>
        </w:rPr>
        <w:t> </w:t>
      </w:r>
      <w:r w:rsidR="007C5214" w:rsidRPr="00311B07">
        <w:rPr>
          <w:rFonts w:ascii="Times New Roman" w:hAnsi="Times New Roman"/>
          <w:spacing w:val="-8"/>
          <w:sz w:val="28"/>
        </w:rPr>
        <w:t>грн</w:t>
      </w:r>
      <w:r w:rsidRPr="00311B07">
        <w:rPr>
          <w:rFonts w:ascii="Times New Roman" w:hAnsi="Times New Roman"/>
          <w:spacing w:val="-8"/>
          <w:sz w:val="28"/>
        </w:rPr>
        <w:t>,</w:t>
      </w:r>
      <w:r w:rsidRPr="00311B07">
        <w:rPr>
          <w:rFonts w:ascii="Times New Roman" w:hAnsi="Times New Roman"/>
          <w:sz w:val="28"/>
          <w:szCs w:val="28"/>
        </w:rPr>
        <w:t xml:space="preserve"> що знаходиться в межах скоригованого річного показника державних запозичень, в тому числі: </w:t>
      </w:r>
      <w:r w:rsidRPr="00311B07">
        <w:rPr>
          <w:rFonts w:ascii="Times New Roman" w:eastAsia="Times New Roman" w:hAnsi="Times New Roman"/>
          <w:sz w:val="28"/>
          <w:szCs w:val="28"/>
        </w:rPr>
        <w:t xml:space="preserve">державні запозичення до загального фонду державного бюджету </w:t>
      </w:r>
      <w:r w:rsidRPr="00311B07">
        <w:rPr>
          <w:rFonts w:ascii="Times New Roman" w:hAnsi="Times New Roman"/>
          <w:sz w:val="28"/>
          <w:szCs w:val="28"/>
        </w:rPr>
        <w:t>–</w:t>
      </w:r>
      <w:r w:rsidRPr="00311B07">
        <w:rPr>
          <w:rFonts w:ascii="Times New Roman" w:eastAsia="Times New Roman" w:hAnsi="Times New Roman"/>
          <w:sz w:val="28"/>
          <w:szCs w:val="28"/>
        </w:rPr>
        <w:t xml:space="preserve"> </w:t>
      </w:r>
      <w:r w:rsidR="00D1074D" w:rsidRPr="00311B07">
        <w:rPr>
          <w:rFonts w:ascii="Times New Roman" w:eastAsia="Times New Roman" w:hAnsi="Times New Roman"/>
          <w:sz w:val="28"/>
          <w:szCs w:val="28"/>
        </w:rPr>
        <w:t>277,5</w:t>
      </w:r>
      <w:r w:rsidRPr="00311B07">
        <w:rPr>
          <w:rFonts w:ascii="Times New Roman" w:eastAsia="Times New Roman" w:hAnsi="Times New Roman"/>
          <w:sz w:val="28"/>
          <w:szCs w:val="28"/>
        </w:rPr>
        <w:t> </w:t>
      </w:r>
      <w:r w:rsidR="007C5214" w:rsidRPr="00311B07">
        <w:rPr>
          <w:rFonts w:ascii="Times New Roman" w:eastAsia="Times New Roman" w:hAnsi="Times New Roman"/>
          <w:sz w:val="28"/>
          <w:szCs w:val="28"/>
        </w:rPr>
        <w:t>млрд</w:t>
      </w:r>
      <w:r w:rsidRPr="00311B07">
        <w:rPr>
          <w:rFonts w:ascii="Times New Roman" w:eastAsia="Times New Roman" w:hAnsi="Times New Roman"/>
          <w:sz w:val="28"/>
          <w:szCs w:val="28"/>
        </w:rPr>
        <w:t xml:space="preserve"> </w:t>
      </w:r>
      <w:r w:rsidR="007C5214" w:rsidRPr="00311B07">
        <w:rPr>
          <w:rFonts w:ascii="Times New Roman" w:eastAsia="Times New Roman" w:hAnsi="Times New Roman"/>
          <w:sz w:val="28"/>
          <w:szCs w:val="28"/>
        </w:rPr>
        <w:t>грн</w:t>
      </w:r>
      <w:r w:rsidR="00D56E3A" w:rsidRPr="00311B07">
        <w:rPr>
          <w:rFonts w:ascii="Times New Roman" w:eastAsia="Times New Roman" w:hAnsi="Times New Roman"/>
          <w:sz w:val="28"/>
          <w:szCs w:val="28"/>
        </w:rPr>
        <w:t>,</w:t>
      </w:r>
      <w:r w:rsidRPr="00311B07">
        <w:rPr>
          <w:rFonts w:ascii="Times New Roman" w:hAnsi="Times New Roman"/>
          <w:sz w:val="28"/>
        </w:rPr>
        <w:t xml:space="preserve"> </w:t>
      </w:r>
      <w:r w:rsidR="006705F8" w:rsidRPr="00311B07">
        <w:rPr>
          <w:rFonts w:ascii="Times New Roman" w:eastAsia="Times New Roman" w:hAnsi="Times New Roman"/>
          <w:sz w:val="28"/>
          <w:szCs w:val="28"/>
        </w:rPr>
        <w:t>або 9</w:t>
      </w:r>
      <w:r w:rsidR="009E6678" w:rsidRPr="00311B07">
        <w:rPr>
          <w:rFonts w:ascii="Times New Roman" w:eastAsia="Times New Roman" w:hAnsi="Times New Roman"/>
          <w:sz w:val="28"/>
          <w:szCs w:val="28"/>
          <w:lang w:val="ru-RU"/>
        </w:rPr>
        <w:t>6,1</w:t>
      </w:r>
      <w:r w:rsidRPr="00311B07">
        <w:rPr>
          <w:rFonts w:ascii="Times New Roman" w:eastAsia="Times New Roman" w:hAnsi="Times New Roman"/>
          <w:sz w:val="28"/>
          <w:szCs w:val="28"/>
        </w:rPr>
        <w:t xml:space="preserve">% планового річного показника, державні запозичення до спеціального фонду державного бюджету </w:t>
      </w:r>
      <w:r w:rsidRPr="00311B07">
        <w:rPr>
          <w:rFonts w:ascii="Times New Roman" w:hAnsi="Times New Roman"/>
          <w:sz w:val="28"/>
          <w:szCs w:val="28"/>
        </w:rPr>
        <w:t>–</w:t>
      </w:r>
      <w:r w:rsidRPr="00311B07">
        <w:rPr>
          <w:rFonts w:ascii="Times New Roman" w:eastAsia="Times New Roman" w:hAnsi="Times New Roman"/>
          <w:sz w:val="28"/>
          <w:szCs w:val="28"/>
        </w:rPr>
        <w:t xml:space="preserve"> </w:t>
      </w:r>
      <w:r w:rsidR="00D1074D" w:rsidRPr="00311B07">
        <w:rPr>
          <w:rFonts w:ascii="Times New Roman" w:eastAsia="Times New Roman" w:hAnsi="Times New Roman"/>
          <w:sz w:val="28"/>
          <w:szCs w:val="28"/>
        </w:rPr>
        <w:t>9,1</w:t>
      </w:r>
      <w:r w:rsidRPr="00311B07">
        <w:rPr>
          <w:rFonts w:ascii="Times New Roman" w:eastAsia="Times New Roman" w:hAnsi="Times New Roman"/>
          <w:sz w:val="28"/>
          <w:szCs w:val="28"/>
        </w:rPr>
        <w:t> </w:t>
      </w:r>
      <w:r w:rsidR="007C5214" w:rsidRPr="00311B07">
        <w:rPr>
          <w:rFonts w:ascii="Times New Roman" w:eastAsia="Times New Roman" w:hAnsi="Times New Roman"/>
          <w:sz w:val="28"/>
          <w:szCs w:val="28"/>
        </w:rPr>
        <w:t>млрд</w:t>
      </w:r>
      <w:r w:rsidR="00A370E7" w:rsidRPr="00311B07">
        <w:rPr>
          <w:rFonts w:ascii="Times New Roman" w:eastAsia="Times New Roman" w:hAnsi="Times New Roman"/>
          <w:sz w:val="28"/>
          <w:szCs w:val="28"/>
        </w:rPr>
        <w:t> </w:t>
      </w:r>
      <w:r w:rsidR="007C5214" w:rsidRPr="00311B07">
        <w:rPr>
          <w:rFonts w:ascii="Times New Roman" w:eastAsia="Times New Roman" w:hAnsi="Times New Roman"/>
          <w:sz w:val="28"/>
          <w:szCs w:val="28"/>
        </w:rPr>
        <w:t>грн</w:t>
      </w:r>
      <w:r w:rsidR="00CE4F5E" w:rsidRPr="00311B07">
        <w:rPr>
          <w:rFonts w:ascii="Times New Roman" w:eastAsia="Times New Roman" w:hAnsi="Times New Roman"/>
          <w:sz w:val="28"/>
          <w:szCs w:val="28"/>
        </w:rPr>
        <w:t>,</w:t>
      </w:r>
      <w:r w:rsidRPr="00311B07">
        <w:rPr>
          <w:rFonts w:ascii="Times New Roman" w:eastAsia="Times New Roman" w:hAnsi="Times New Roman"/>
          <w:sz w:val="28"/>
          <w:szCs w:val="28"/>
        </w:rPr>
        <w:t xml:space="preserve"> або </w:t>
      </w:r>
      <w:r w:rsidR="000C13B3" w:rsidRPr="00311B07">
        <w:rPr>
          <w:rFonts w:ascii="Times New Roman" w:eastAsia="Times New Roman" w:hAnsi="Times New Roman"/>
          <w:sz w:val="28"/>
          <w:szCs w:val="28"/>
        </w:rPr>
        <w:t>46,7</w:t>
      </w:r>
      <w:r w:rsidRPr="00311B07">
        <w:rPr>
          <w:rFonts w:ascii="Times New Roman" w:eastAsia="Times New Roman" w:hAnsi="Times New Roman"/>
          <w:sz w:val="28"/>
          <w:szCs w:val="28"/>
        </w:rPr>
        <w:t>% планового річного показника.</w:t>
      </w:r>
    </w:p>
    <w:p w14:paraId="459DB892" w14:textId="77777777" w:rsidR="00C509EF" w:rsidRPr="00311B07" w:rsidRDefault="00146941" w:rsidP="0056668F">
      <w:pPr>
        <w:spacing w:after="80" w:line="240" w:lineRule="auto"/>
        <w:ind w:firstLine="709"/>
        <w:jc w:val="both"/>
        <w:rPr>
          <w:rFonts w:ascii="Times New Roman" w:eastAsia="Times New Roman" w:hAnsi="Times New Roman"/>
          <w:sz w:val="28"/>
          <w:szCs w:val="28"/>
        </w:rPr>
      </w:pPr>
      <w:r w:rsidRPr="00311B07">
        <w:rPr>
          <w:rFonts w:ascii="Times New Roman" w:eastAsia="Times New Roman" w:hAnsi="Times New Roman"/>
          <w:sz w:val="28"/>
          <w:szCs w:val="28"/>
        </w:rPr>
        <w:t xml:space="preserve">Невиконання в повному обсязі запланованого показника державних запозичень до спеціального фонду державного бюджету на фінансування проектів розвитку економіки та бюджетної сфери викликано меншими </w:t>
      </w:r>
      <w:r w:rsidRPr="00311B07">
        <w:rPr>
          <w:rFonts w:ascii="Times New Roman" w:eastAsia="Times New Roman" w:hAnsi="Times New Roman"/>
          <w:sz w:val="28"/>
          <w:szCs w:val="28"/>
        </w:rPr>
        <w:lastRenderedPageBreak/>
        <w:t xml:space="preserve">обсягами вибірки кредитних коштів в рамках впровадження спільних з міжнародними фінансовими організаціями (далі – МФО) проектів. Таке відхилення пов’язано </w:t>
      </w:r>
      <w:r w:rsidR="009A1F3B">
        <w:rPr>
          <w:rFonts w:ascii="Times New Roman" w:eastAsia="Times New Roman" w:hAnsi="Times New Roman"/>
          <w:sz w:val="28"/>
          <w:szCs w:val="28"/>
        </w:rPr>
        <w:t>і</w:t>
      </w:r>
      <w:r w:rsidRPr="00311B07">
        <w:rPr>
          <w:rFonts w:ascii="Times New Roman" w:eastAsia="Times New Roman" w:hAnsi="Times New Roman"/>
          <w:sz w:val="28"/>
          <w:szCs w:val="28"/>
        </w:rPr>
        <w:t>з</w:t>
      </w:r>
      <w:r w:rsidR="00C509EF" w:rsidRPr="00311B07">
        <w:rPr>
          <w:rFonts w:ascii="Times New Roman" w:eastAsia="Times New Roman" w:hAnsi="Times New Roman"/>
          <w:sz w:val="28"/>
          <w:szCs w:val="28"/>
        </w:rPr>
        <w:t>:</w:t>
      </w:r>
    </w:p>
    <w:p w14:paraId="4EBE816B" w14:textId="77777777" w:rsidR="00C509EF" w:rsidRPr="00311B07" w:rsidRDefault="00C509EF" w:rsidP="00CB4375">
      <w:pPr>
        <w:pStyle w:val="a3"/>
        <w:numPr>
          <w:ilvl w:val="0"/>
          <w:numId w:val="16"/>
        </w:numPr>
        <w:tabs>
          <w:tab w:val="left" w:pos="993"/>
        </w:tabs>
        <w:spacing w:before="0" w:beforeAutospacing="0" w:after="40" w:afterAutospacing="0"/>
        <w:ind w:left="0" w:firstLine="709"/>
        <w:jc w:val="both"/>
        <w:rPr>
          <w:sz w:val="28"/>
          <w:szCs w:val="28"/>
        </w:rPr>
      </w:pPr>
      <w:r w:rsidRPr="00311B07">
        <w:rPr>
          <w:sz w:val="28"/>
          <w:szCs w:val="28"/>
        </w:rPr>
        <w:t xml:space="preserve">низькою ефективністю та недостатньою якістю планування </w:t>
      </w:r>
      <w:r w:rsidR="00146941" w:rsidRPr="00311B07">
        <w:rPr>
          <w:sz w:val="28"/>
          <w:szCs w:val="28"/>
        </w:rPr>
        <w:t>прогнозних обсягів вибірки відповідальними виконавцями сп</w:t>
      </w:r>
      <w:r w:rsidR="009A1F3B">
        <w:rPr>
          <w:sz w:val="28"/>
          <w:szCs w:val="28"/>
        </w:rPr>
        <w:t>ільних з МФО проектів;</w:t>
      </w:r>
      <w:r w:rsidR="00146941" w:rsidRPr="00311B07">
        <w:rPr>
          <w:sz w:val="28"/>
          <w:szCs w:val="28"/>
        </w:rPr>
        <w:t xml:space="preserve"> </w:t>
      </w:r>
    </w:p>
    <w:p w14:paraId="7D77D18A" w14:textId="77777777" w:rsidR="00C509EF" w:rsidRPr="00311B07" w:rsidRDefault="00146941" w:rsidP="00CB4375">
      <w:pPr>
        <w:pStyle w:val="a3"/>
        <w:numPr>
          <w:ilvl w:val="0"/>
          <w:numId w:val="16"/>
        </w:numPr>
        <w:tabs>
          <w:tab w:val="left" w:pos="993"/>
        </w:tabs>
        <w:spacing w:before="0" w:beforeAutospacing="0" w:after="40" w:afterAutospacing="0"/>
        <w:ind w:left="0" w:firstLine="709"/>
        <w:jc w:val="both"/>
        <w:rPr>
          <w:sz w:val="28"/>
          <w:szCs w:val="28"/>
        </w:rPr>
      </w:pPr>
      <w:r w:rsidRPr="00311B07">
        <w:rPr>
          <w:sz w:val="28"/>
          <w:szCs w:val="28"/>
        </w:rPr>
        <w:t>довготривалими тендерними проце</w:t>
      </w:r>
      <w:r w:rsidR="009A1F3B">
        <w:rPr>
          <w:sz w:val="28"/>
          <w:szCs w:val="28"/>
        </w:rPr>
        <w:t>дурами відповідно до правил МФО;</w:t>
      </w:r>
    </w:p>
    <w:p w14:paraId="78AE9C02" w14:textId="77777777" w:rsidR="00C509EF" w:rsidRPr="00311B07" w:rsidRDefault="00146941" w:rsidP="00CB4375">
      <w:pPr>
        <w:pStyle w:val="a3"/>
        <w:numPr>
          <w:ilvl w:val="0"/>
          <w:numId w:val="16"/>
        </w:numPr>
        <w:tabs>
          <w:tab w:val="left" w:pos="993"/>
        </w:tabs>
        <w:spacing w:before="0" w:beforeAutospacing="0" w:after="40" w:afterAutospacing="0"/>
        <w:ind w:left="0" w:firstLine="709"/>
        <w:jc w:val="both"/>
        <w:rPr>
          <w:sz w:val="28"/>
          <w:szCs w:val="28"/>
        </w:rPr>
      </w:pPr>
      <w:r w:rsidRPr="00311B07">
        <w:rPr>
          <w:sz w:val="28"/>
          <w:szCs w:val="28"/>
        </w:rPr>
        <w:t>перенесенням термінів виконання окремих робіт за контрактами через затримки розробки пр</w:t>
      </w:r>
      <w:r w:rsidR="009A1F3B">
        <w:rPr>
          <w:sz w:val="28"/>
          <w:szCs w:val="28"/>
        </w:rPr>
        <w:t>оектно-кошторисної документації;</w:t>
      </w:r>
      <w:r w:rsidRPr="00311B07">
        <w:rPr>
          <w:sz w:val="28"/>
          <w:szCs w:val="28"/>
        </w:rPr>
        <w:t xml:space="preserve"> </w:t>
      </w:r>
    </w:p>
    <w:p w14:paraId="5DA3E2C0" w14:textId="77777777" w:rsidR="00C509EF" w:rsidRPr="00311B07" w:rsidRDefault="00146941" w:rsidP="00CB4375">
      <w:pPr>
        <w:pStyle w:val="a3"/>
        <w:numPr>
          <w:ilvl w:val="0"/>
          <w:numId w:val="16"/>
        </w:numPr>
        <w:tabs>
          <w:tab w:val="left" w:pos="993"/>
        </w:tabs>
        <w:spacing w:before="0" w:beforeAutospacing="0" w:after="40" w:afterAutospacing="0"/>
        <w:ind w:left="0" w:firstLine="709"/>
        <w:jc w:val="both"/>
        <w:rPr>
          <w:sz w:val="28"/>
          <w:szCs w:val="28"/>
        </w:rPr>
      </w:pPr>
      <w:r w:rsidRPr="00311B07">
        <w:rPr>
          <w:sz w:val="28"/>
          <w:szCs w:val="28"/>
        </w:rPr>
        <w:t>повільною м</w:t>
      </w:r>
      <w:r w:rsidR="009A1F3B">
        <w:rPr>
          <w:sz w:val="28"/>
          <w:szCs w:val="28"/>
        </w:rPr>
        <w:t>обілізацією підрядних компаній;</w:t>
      </w:r>
    </w:p>
    <w:p w14:paraId="733EBA7C" w14:textId="77777777" w:rsidR="00146941" w:rsidRPr="00311B07" w:rsidRDefault="00146941" w:rsidP="00B82C65">
      <w:pPr>
        <w:pStyle w:val="a3"/>
        <w:numPr>
          <w:ilvl w:val="0"/>
          <w:numId w:val="16"/>
        </w:numPr>
        <w:tabs>
          <w:tab w:val="left" w:pos="993"/>
        </w:tabs>
        <w:spacing w:before="0" w:beforeAutospacing="0" w:after="80" w:afterAutospacing="0"/>
        <w:ind w:left="0" w:firstLine="709"/>
        <w:jc w:val="both"/>
        <w:rPr>
          <w:sz w:val="28"/>
          <w:szCs w:val="28"/>
        </w:rPr>
      </w:pPr>
      <w:r w:rsidRPr="00311B07">
        <w:rPr>
          <w:sz w:val="28"/>
          <w:szCs w:val="28"/>
        </w:rPr>
        <w:t>затримками із набуттям чинності міжнародних угод тощо.</w:t>
      </w:r>
    </w:p>
    <w:p w14:paraId="488525FA" w14:textId="77777777" w:rsidR="0044685E" w:rsidRPr="00311B07" w:rsidRDefault="0044685E" w:rsidP="000545FD">
      <w:pPr>
        <w:shd w:val="clear" w:color="auto" w:fill="FFFFFF"/>
        <w:spacing w:after="8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Частка </w:t>
      </w:r>
      <w:r w:rsidR="00383C43" w:rsidRPr="00311B07">
        <w:rPr>
          <w:rFonts w:ascii="Times New Roman" w:eastAsia="Times New Roman" w:hAnsi="Times New Roman" w:cs="Times New Roman"/>
          <w:sz w:val="28"/>
          <w:szCs w:val="28"/>
        </w:rPr>
        <w:t xml:space="preserve">державних </w:t>
      </w:r>
      <w:r w:rsidRPr="00311B07">
        <w:rPr>
          <w:rFonts w:ascii="Times New Roman" w:eastAsia="Times New Roman" w:hAnsi="Times New Roman" w:cs="Times New Roman"/>
          <w:sz w:val="28"/>
          <w:szCs w:val="28"/>
        </w:rPr>
        <w:t xml:space="preserve">внутрішніх запозичень становила </w:t>
      </w:r>
      <w:r w:rsidR="00A24C68" w:rsidRPr="00311B07">
        <w:rPr>
          <w:rFonts w:ascii="Times New Roman" w:eastAsia="Times New Roman" w:hAnsi="Times New Roman" w:cs="Times New Roman"/>
          <w:sz w:val="28"/>
          <w:szCs w:val="28"/>
        </w:rPr>
        <w:t>60,8</w:t>
      </w:r>
      <w:r w:rsidRPr="00311B07">
        <w:rPr>
          <w:rFonts w:ascii="Times New Roman" w:eastAsia="Times New Roman" w:hAnsi="Times New Roman" w:cs="Times New Roman"/>
          <w:sz w:val="28"/>
          <w:szCs w:val="28"/>
        </w:rPr>
        <w:t xml:space="preserve">% проти передбачених Програмою </w:t>
      </w:r>
      <w:r w:rsidR="00477730" w:rsidRPr="00311B07">
        <w:rPr>
          <w:rFonts w:ascii="Times New Roman" w:eastAsia="Times New Roman" w:hAnsi="Times New Roman" w:cs="Times New Roman"/>
          <w:sz w:val="28"/>
          <w:szCs w:val="28"/>
        </w:rPr>
        <w:t>53,4</w:t>
      </w:r>
      <w:r w:rsidRPr="00311B07">
        <w:rPr>
          <w:rFonts w:ascii="Times New Roman" w:eastAsia="Times New Roman" w:hAnsi="Times New Roman" w:cs="Times New Roman"/>
          <w:sz w:val="28"/>
          <w:szCs w:val="28"/>
        </w:rPr>
        <w:t>%</w:t>
      </w:r>
      <w:r w:rsidR="00990994" w:rsidRPr="00311B07">
        <w:rPr>
          <w:rFonts w:ascii="Times New Roman" w:eastAsia="Times New Roman" w:hAnsi="Times New Roman" w:cs="Times New Roman"/>
          <w:sz w:val="28"/>
          <w:szCs w:val="28"/>
        </w:rPr>
        <w:t xml:space="preserve">. Частка </w:t>
      </w:r>
      <w:r w:rsidR="00383C43" w:rsidRPr="00311B07">
        <w:rPr>
          <w:rFonts w:ascii="Times New Roman" w:eastAsia="Times New Roman" w:hAnsi="Times New Roman" w:cs="Times New Roman"/>
          <w:sz w:val="28"/>
          <w:szCs w:val="28"/>
        </w:rPr>
        <w:t xml:space="preserve">державних </w:t>
      </w:r>
      <w:r w:rsidR="00990994" w:rsidRPr="00311B07">
        <w:rPr>
          <w:rFonts w:ascii="Times New Roman" w:eastAsia="Times New Roman" w:hAnsi="Times New Roman" w:cs="Times New Roman"/>
          <w:sz w:val="28"/>
          <w:szCs w:val="28"/>
        </w:rPr>
        <w:t xml:space="preserve">внутрішніх запозичень зросла порівняно з плановим показником за рахунок </w:t>
      </w:r>
      <w:r w:rsidR="00A24C68" w:rsidRPr="00311B07">
        <w:rPr>
          <w:rFonts w:ascii="Times New Roman" w:eastAsia="Times New Roman" w:hAnsi="Times New Roman" w:cs="Times New Roman"/>
          <w:sz w:val="28"/>
          <w:szCs w:val="28"/>
        </w:rPr>
        <w:t>розміщення</w:t>
      </w:r>
      <w:r w:rsidR="00990994" w:rsidRPr="00311B07">
        <w:rPr>
          <w:rFonts w:ascii="Times New Roman" w:eastAsia="Times New Roman" w:hAnsi="Times New Roman" w:cs="Times New Roman"/>
          <w:sz w:val="28"/>
          <w:szCs w:val="28"/>
        </w:rPr>
        <w:t xml:space="preserve"> ОВДП</w:t>
      </w:r>
      <w:r w:rsidR="00667CFE" w:rsidRPr="00311B07">
        <w:rPr>
          <w:rFonts w:ascii="Times New Roman" w:eastAsia="Times New Roman" w:hAnsi="Times New Roman" w:cs="Times New Roman"/>
          <w:sz w:val="28"/>
          <w:szCs w:val="28"/>
        </w:rPr>
        <w:t>,</w:t>
      </w:r>
      <w:r w:rsidR="00A24C68" w:rsidRPr="00311B07">
        <w:rPr>
          <w:rFonts w:ascii="Times New Roman" w:eastAsia="Times New Roman" w:hAnsi="Times New Roman" w:cs="Times New Roman"/>
          <w:sz w:val="28"/>
          <w:szCs w:val="28"/>
        </w:rPr>
        <w:t xml:space="preserve"> номінованих як в національній</w:t>
      </w:r>
      <w:r w:rsidR="00377EED" w:rsidRPr="00311B07">
        <w:rPr>
          <w:rFonts w:ascii="Times New Roman" w:eastAsia="Times New Roman" w:hAnsi="Times New Roman" w:cs="Times New Roman"/>
          <w:sz w:val="28"/>
          <w:szCs w:val="28"/>
        </w:rPr>
        <w:t>,</w:t>
      </w:r>
      <w:r w:rsidR="00A24C68" w:rsidRPr="00311B07">
        <w:rPr>
          <w:rFonts w:ascii="Times New Roman" w:eastAsia="Times New Roman" w:hAnsi="Times New Roman" w:cs="Times New Roman"/>
          <w:sz w:val="28"/>
          <w:szCs w:val="28"/>
        </w:rPr>
        <w:t xml:space="preserve"> так і в іноземних валютах</w:t>
      </w:r>
      <w:r w:rsidR="00990994" w:rsidRPr="00311B07">
        <w:rPr>
          <w:rFonts w:ascii="Times New Roman" w:eastAsia="Times New Roman" w:hAnsi="Times New Roman" w:cs="Times New Roman"/>
          <w:sz w:val="28"/>
          <w:szCs w:val="28"/>
        </w:rPr>
        <w:t>.</w:t>
      </w:r>
      <w:r w:rsidR="00C54E58" w:rsidRPr="00311B07">
        <w:rPr>
          <w:rFonts w:ascii="Times New Roman" w:eastAsia="Times New Roman" w:hAnsi="Times New Roman" w:cs="Times New Roman"/>
          <w:sz w:val="28"/>
          <w:szCs w:val="28"/>
        </w:rPr>
        <w:t xml:space="preserve"> </w:t>
      </w:r>
      <w:r w:rsidR="00F86637" w:rsidRPr="00311B07">
        <w:rPr>
          <w:rFonts w:ascii="Times New Roman" w:eastAsia="Times New Roman" w:hAnsi="Times New Roman" w:cs="Times New Roman"/>
          <w:sz w:val="28"/>
          <w:szCs w:val="28"/>
        </w:rPr>
        <w:t>Збільшення</w:t>
      </w:r>
      <w:r w:rsidR="00C509EF" w:rsidRPr="00311B07">
        <w:rPr>
          <w:rFonts w:ascii="Times New Roman" w:eastAsia="Times New Roman" w:hAnsi="Times New Roman" w:cs="Times New Roman"/>
          <w:sz w:val="28"/>
          <w:szCs w:val="28"/>
        </w:rPr>
        <w:t xml:space="preserve"> частк</w:t>
      </w:r>
      <w:r w:rsidR="00F86637" w:rsidRPr="00311B07">
        <w:rPr>
          <w:rFonts w:ascii="Times New Roman" w:eastAsia="Times New Roman" w:hAnsi="Times New Roman" w:cs="Times New Roman"/>
          <w:sz w:val="28"/>
          <w:szCs w:val="28"/>
        </w:rPr>
        <w:t>и</w:t>
      </w:r>
      <w:r w:rsidR="00C509EF" w:rsidRPr="00311B07">
        <w:rPr>
          <w:rFonts w:ascii="Times New Roman" w:eastAsia="Times New Roman" w:hAnsi="Times New Roman" w:cs="Times New Roman"/>
          <w:sz w:val="28"/>
          <w:szCs w:val="28"/>
        </w:rPr>
        <w:t xml:space="preserve"> внутрішніх запозичень відповідає </w:t>
      </w:r>
      <w:r w:rsidR="00CB4375" w:rsidRPr="00311B07">
        <w:rPr>
          <w:rFonts w:ascii="Times New Roman" w:eastAsia="Times New Roman" w:hAnsi="Times New Roman" w:cs="Times New Roman"/>
          <w:sz w:val="28"/>
          <w:szCs w:val="28"/>
        </w:rPr>
        <w:t xml:space="preserve">цілям </w:t>
      </w:r>
      <w:r w:rsidR="00C509EF" w:rsidRPr="00311B07">
        <w:rPr>
          <w:rFonts w:ascii="Times New Roman" w:eastAsia="Times New Roman" w:hAnsi="Times New Roman" w:cs="Times New Roman"/>
          <w:sz w:val="28"/>
          <w:szCs w:val="28"/>
        </w:rPr>
        <w:t>С</w:t>
      </w:r>
      <w:r w:rsidR="009A1F3B">
        <w:rPr>
          <w:rFonts w:ascii="Times New Roman" w:eastAsia="Times New Roman" w:hAnsi="Times New Roman" w:cs="Times New Roman"/>
          <w:sz w:val="28"/>
          <w:szCs w:val="28"/>
        </w:rPr>
        <w:t>ередньострокової с</w:t>
      </w:r>
      <w:r w:rsidR="00C509EF" w:rsidRPr="00311B07">
        <w:rPr>
          <w:rFonts w:ascii="Times New Roman" w:eastAsia="Times New Roman" w:hAnsi="Times New Roman" w:cs="Times New Roman"/>
          <w:sz w:val="28"/>
          <w:szCs w:val="28"/>
        </w:rPr>
        <w:t>тратегії управління державним боргом</w:t>
      </w:r>
      <w:r w:rsidR="009A1F3B">
        <w:rPr>
          <w:rFonts w:ascii="Times New Roman" w:eastAsia="Times New Roman" w:hAnsi="Times New Roman" w:cs="Times New Roman"/>
          <w:sz w:val="28"/>
          <w:szCs w:val="28"/>
        </w:rPr>
        <w:t xml:space="preserve"> на 2018-2020 роки</w:t>
      </w:r>
      <w:r w:rsidR="00C509EF" w:rsidRPr="00311B07">
        <w:rPr>
          <w:rFonts w:ascii="Times New Roman" w:eastAsia="Times New Roman" w:hAnsi="Times New Roman" w:cs="Times New Roman"/>
          <w:sz w:val="28"/>
          <w:szCs w:val="28"/>
        </w:rPr>
        <w:t>.</w:t>
      </w:r>
    </w:p>
    <w:p w14:paraId="370EB645" w14:textId="140FCE28" w:rsidR="00C72074" w:rsidRPr="00311B07" w:rsidRDefault="00A37095" w:rsidP="000545FD">
      <w:pPr>
        <w:tabs>
          <w:tab w:val="left" w:pos="993"/>
        </w:tabs>
        <w:spacing w:after="80" w:line="240" w:lineRule="auto"/>
        <w:ind w:right="-1" w:firstLine="709"/>
        <w:jc w:val="both"/>
        <w:rPr>
          <w:rFonts w:ascii="Times New Roman" w:hAnsi="Times New Roman" w:cs="Times New Roman"/>
          <w:sz w:val="28"/>
          <w:szCs w:val="28"/>
        </w:rPr>
      </w:pPr>
      <w:r w:rsidRPr="00311B07">
        <w:rPr>
          <w:rFonts w:ascii="Times New Roman" w:eastAsia="Times New Roman" w:hAnsi="Times New Roman" w:cs="Times New Roman"/>
          <w:sz w:val="28"/>
          <w:szCs w:val="28"/>
        </w:rPr>
        <w:t xml:space="preserve">Здійснення державних внутрішніх запозичень у </w:t>
      </w:r>
      <w:r w:rsidR="00CF1F8B" w:rsidRPr="00311B07">
        <w:rPr>
          <w:rFonts w:ascii="Times New Roman" w:eastAsia="Times New Roman" w:hAnsi="Times New Roman" w:cs="Times New Roman"/>
          <w:sz w:val="28"/>
          <w:szCs w:val="28"/>
        </w:rPr>
        <w:t>2018</w:t>
      </w:r>
      <w:r w:rsidRPr="00311B07">
        <w:rPr>
          <w:rFonts w:ascii="Times New Roman" w:eastAsia="Times New Roman" w:hAnsi="Times New Roman" w:cs="Times New Roman"/>
          <w:sz w:val="28"/>
          <w:szCs w:val="28"/>
        </w:rPr>
        <w:t xml:space="preserve"> році </w:t>
      </w:r>
      <w:r w:rsidR="00A24C68" w:rsidRPr="00311B07">
        <w:rPr>
          <w:rFonts w:ascii="Times New Roman" w:eastAsia="Times New Roman" w:hAnsi="Times New Roman" w:cs="Times New Roman"/>
          <w:sz w:val="28"/>
          <w:szCs w:val="28"/>
        </w:rPr>
        <w:t xml:space="preserve">повністю </w:t>
      </w:r>
      <w:r w:rsidRPr="00311B07">
        <w:rPr>
          <w:rFonts w:ascii="Times New Roman" w:eastAsia="Times New Roman" w:hAnsi="Times New Roman" w:cs="Times New Roman"/>
          <w:sz w:val="28"/>
          <w:szCs w:val="28"/>
        </w:rPr>
        <w:t xml:space="preserve">забезпечувалося </w:t>
      </w:r>
      <w:r w:rsidR="00A24C68" w:rsidRPr="00311B07">
        <w:rPr>
          <w:rFonts w:ascii="Times New Roman" w:eastAsia="Times New Roman" w:hAnsi="Times New Roman" w:cs="Times New Roman"/>
          <w:sz w:val="28"/>
          <w:szCs w:val="28"/>
        </w:rPr>
        <w:t xml:space="preserve">випуском </w:t>
      </w:r>
      <w:r w:rsidR="00A24C68" w:rsidRPr="00311B07">
        <w:rPr>
          <w:rFonts w:ascii="Times New Roman" w:hAnsi="Times New Roman" w:cs="Times New Roman"/>
          <w:sz w:val="28"/>
          <w:szCs w:val="28"/>
        </w:rPr>
        <w:t>ОВДП, розміщених</w:t>
      </w:r>
      <w:r w:rsidR="0000768E" w:rsidRPr="00311B07">
        <w:rPr>
          <w:rFonts w:ascii="Times New Roman" w:hAnsi="Times New Roman" w:cs="Times New Roman"/>
          <w:sz w:val="28"/>
          <w:szCs w:val="28"/>
        </w:rPr>
        <w:t xml:space="preserve"> на ринку державних цінних паперів</w:t>
      </w:r>
      <w:r w:rsidR="00CB7005" w:rsidRPr="00311B07">
        <w:rPr>
          <w:rFonts w:ascii="Times New Roman" w:hAnsi="Times New Roman" w:cs="Times New Roman"/>
          <w:sz w:val="28"/>
          <w:szCs w:val="28"/>
        </w:rPr>
        <w:t xml:space="preserve"> для фінансування дефіциту загального фонду державного бюджету</w:t>
      </w:r>
      <w:r w:rsidR="00614540" w:rsidRPr="00311B07">
        <w:rPr>
          <w:rFonts w:ascii="Times New Roman" w:hAnsi="Times New Roman" w:cs="Times New Roman"/>
          <w:sz w:val="28"/>
          <w:szCs w:val="28"/>
        </w:rPr>
        <w:t>,</w:t>
      </w:r>
      <w:r w:rsidR="00CB7005" w:rsidRPr="00311B07">
        <w:rPr>
          <w:rFonts w:ascii="Times New Roman" w:hAnsi="Times New Roman" w:cs="Times New Roman"/>
          <w:sz w:val="28"/>
          <w:szCs w:val="28"/>
        </w:rPr>
        <w:t xml:space="preserve"> з яких: номіновані в національній валюті </w:t>
      </w:r>
      <w:r w:rsidR="00753CD6" w:rsidRPr="00311B07">
        <w:rPr>
          <w:rFonts w:ascii="Times New Roman" w:hAnsi="Times New Roman" w:cs="Times New Roman"/>
          <w:sz w:val="28"/>
          <w:szCs w:val="28"/>
        </w:rPr>
        <w:t>–</w:t>
      </w:r>
      <w:r w:rsidR="00CB7005" w:rsidRPr="00311B07">
        <w:rPr>
          <w:rFonts w:ascii="Times New Roman" w:hAnsi="Times New Roman" w:cs="Times New Roman"/>
          <w:sz w:val="28"/>
          <w:szCs w:val="28"/>
        </w:rPr>
        <w:t xml:space="preserve"> </w:t>
      </w:r>
      <w:r w:rsidR="007D38F9" w:rsidRPr="00311B07">
        <w:rPr>
          <w:rFonts w:ascii="Times New Roman" w:hAnsi="Times New Roman" w:cs="Times New Roman"/>
          <w:sz w:val="28"/>
          <w:szCs w:val="28"/>
        </w:rPr>
        <w:t>64</w:t>
      </w:r>
      <w:r w:rsidR="00753CD6" w:rsidRPr="00311B07">
        <w:rPr>
          <w:rFonts w:ascii="Times New Roman" w:hAnsi="Times New Roman" w:cs="Times New Roman"/>
          <w:sz w:val="28"/>
          <w:szCs w:val="28"/>
        </w:rPr>
        <w:t>,</w:t>
      </w:r>
      <w:r w:rsidR="007D38F9" w:rsidRPr="00311B07">
        <w:rPr>
          <w:rFonts w:ascii="Times New Roman" w:hAnsi="Times New Roman" w:cs="Times New Roman"/>
          <w:sz w:val="28"/>
          <w:szCs w:val="28"/>
        </w:rPr>
        <w:t>9</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грн</w:t>
      </w:r>
      <w:r w:rsidR="00CB7005" w:rsidRPr="00311B07">
        <w:rPr>
          <w:rFonts w:ascii="Times New Roman" w:hAnsi="Times New Roman" w:cs="Times New Roman"/>
          <w:sz w:val="28"/>
          <w:szCs w:val="28"/>
        </w:rPr>
        <w:t xml:space="preserve">, номіновані в іноземних валютах </w:t>
      </w:r>
      <w:r w:rsidR="00753CD6" w:rsidRPr="00311B07">
        <w:rPr>
          <w:rFonts w:ascii="Times New Roman" w:hAnsi="Times New Roman" w:cs="Times New Roman"/>
          <w:sz w:val="28"/>
          <w:szCs w:val="28"/>
        </w:rPr>
        <w:t>–</w:t>
      </w:r>
      <w:r w:rsidR="00CB7005" w:rsidRPr="00311B07">
        <w:rPr>
          <w:rFonts w:ascii="Times New Roman" w:hAnsi="Times New Roman" w:cs="Times New Roman"/>
          <w:sz w:val="28"/>
          <w:szCs w:val="28"/>
        </w:rPr>
        <w:t xml:space="preserve"> </w:t>
      </w:r>
      <w:r w:rsidR="00753CD6" w:rsidRPr="00311B07">
        <w:rPr>
          <w:rFonts w:ascii="Times New Roman" w:hAnsi="Times New Roman" w:cs="Times New Roman"/>
          <w:sz w:val="28"/>
          <w:szCs w:val="28"/>
        </w:rPr>
        <w:t xml:space="preserve">у еквіваленті </w:t>
      </w:r>
      <w:r w:rsidR="007D38F9" w:rsidRPr="00311B07">
        <w:rPr>
          <w:rFonts w:ascii="Times New Roman" w:hAnsi="Times New Roman" w:cs="Times New Roman"/>
          <w:sz w:val="28"/>
          <w:szCs w:val="28"/>
        </w:rPr>
        <w:t>109,3</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грн</w:t>
      </w:r>
      <w:r w:rsidR="00CB7005" w:rsidRPr="00311B07">
        <w:rPr>
          <w:rFonts w:ascii="Times New Roman" w:hAnsi="Times New Roman" w:cs="Times New Roman"/>
          <w:sz w:val="28"/>
          <w:szCs w:val="28"/>
        </w:rPr>
        <w:t xml:space="preserve"> (</w:t>
      </w:r>
      <w:r w:rsidR="00753CD6" w:rsidRPr="00311B07">
        <w:rPr>
          <w:rFonts w:ascii="Times New Roman" w:hAnsi="Times New Roman" w:cs="Times New Roman"/>
          <w:sz w:val="28"/>
          <w:szCs w:val="28"/>
        </w:rPr>
        <w:t xml:space="preserve">на суму </w:t>
      </w:r>
      <w:r w:rsidR="007D38F9" w:rsidRPr="00311B07">
        <w:rPr>
          <w:rFonts w:ascii="Times New Roman" w:hAnsi="Times New Roman" w:cs="Times New Roman"/>
          <w:sz w:val="28"/>
          <w:szCs w:val="28"/>
        </w:rPr>
        <w:t>3</w:t>
      </w:r>
      <w:r w:rsidR="00753CD6" w:rsidRPr="00311B07">
        <w:rPr>
          <w:rFonts w:ascii="Times New Roman" w:hAnsi="Times New Roman" w:cs="Times New Roman"/>
          <w:sz w:val="28"/>
          <w:szCs w:val="28"/>
        </w:rPr>
        <w:t>,</w:t>
      </w:r>
      <w:r w:rsidR="007D38F9" w:rsidRPr="00311B07">
        <w:rPr>
          <w:rFonts w:ascii="Times New Roman" w:hAnsi="Times New Roman" w:cs="Times New Roman"/>
          <w:sz w:val="28"/>
          <w:szCs w:val="28"/>
        </w:rPr>
        <w:t>5</w:t>
      </w:r>
      <w:r w:rsidR="00667CFE" w:rsidRPr="00311B07">
        <w:rPr>
          <w:rFonts w:ascii="Times New Roman" w:hAnsi="Times New Roman" w:cs="Times New Roman"/>
          <w:sz w:val="28"/>
          <w:szCs w:val="28"/>
        </w:rPr>
        <w:t>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xml:space="preserve"> </w:t>
      </w:r>
      <w:proofErr w:type="spellStart"/>
      <w:r w:rsidR="00753CD6" w:rsidRPr="00311B07">
        <w:rPr>
          <w:rFonts w:ascii="Times New Roman" w:hAnsi="Times New Roman" w:cs="Times New Roman"/>
          <w:sz w:val="28"/>
          <w:szCs w:val="28"/>
        </w:rPr>
        <w:t>дол</w:t>
      </w:r>
      <w:proofErr w:type="spellEnd"/>
      <w:r w:rsidR="00753CD6" w:rsidRPr="00311B07">
        <w:rPr>
          <w:rFonts w:ascii="Times New Roman" w:hAnsi="Times New Roman" w:cs="Times New Roman"/>
          <w:sz w:val="28"/>
          <w:szCs w:val="28"/>
        </w:rPr>
        <w:t>. США</w:t>
      </w:r>
      <w:r w:rsidR="007D180A" w:rsidRPr="00311B07">
        <w:rPr>
          <w:rFonts w:ascii="Times New Roman" w:hAnsi="Times New Roman" w:cs="Times New Roman"/>
          <w:sz w:val="28"/>
          <w:szCs w:val="28"/>
        </w:rPr>
        <w:t>,</w:t>
      </w:r>
      <w:r w:rsidR="00753CD6" w:rsidRPr="00311B07">
        <w:rPr>
          <w:rFonts w:ascii="Times New Roman" w:hAnsi="Times New Roman" w:cs="Times New Roman"/>
          <w:sz w:val="28"/>
          <w:szCs w:val="28"/>
        </w:rPr>
        <w:t xml:space="preserve"> або </w:t>
      </w:r>
      <w:r w:rsidR="007D38F9" w:rsidRPr="00311B07">
        <w:rPr>
          <w:rFonts w:ascii="Times New Roman" w:hAnsi="Times New Roman" w:cs="Times New Roman"/>
          <w:sz w:val="28"/>
          <w:szCs w:val="28"/>
        </w:rPr>
        <w:t>9</w:t>
      </w:r>
      <w:r w:rsidR="00B54513" w:rsidRPr="00311B07">
        <w:rPr>
          <w:rFonts w:ascii="Times New Roman" w:hAnsi="Times New Roman" w:cs="Times New Roman"/>
          <w:sz w:val="28"/>
          <w:szCs w:val="28"/>
        </w:rPr>
        <w:t>3</w:t>
      </w:r>
      <w:r w:rsidR="007D38F9" w:rsidRPr="00311B07">
        <w:rPr>
          <w:rFonts w:ascii="Times New Roman" w:hAnsi="Times New Roman" w:cs="Times New Roman"/>
          <w:sz w:val="28"/>
          <w:szCs w:val="28"/>
        </w:rPr>
        <w:t>,</w:t>
      </w:r>
      <w:r w:rsidR="00B54513" w:rsidRPr="00311B07">
        <w:rPr>
          <w:rFonts w:ascii="Times New Roman" w:hAnsi="Times New Roman" w:cs="Times New Roman"/>
          <w:sz w:val="28"/>
          <w:szCs w:val="28"/>
        </w:rPr>
        <w:t>5</w:t>
      </w:r>
      <w:r w:rsidR="00CF65AF" w:rsidRPr="00311B07">
        <w:rPr>
          <w:rFonts w:ascii="Times New Roman" w:hAnsi="Times New Roman" w:cs="Times New Roman"/>
          <w:sz w:val="28"/>
          <w:szCs w:val="28"/>
          <w:lang w:val="en-US"/>
        </w:rPr>
        <w:t>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грн</w:t>
      </w:r>
      <w:r w:rsidR="00CB7005" w:rsidRPr="00311B07">
        <w:rPr>
          <w:rFonts w:ascii="Times New Roman" w:hAnsi="Times New Roman" w:cs="Times New Roman"/>
          <w:sz w:val="28"/>
          <w:szCs w:val="28"/>
        </w:rPr>
        <w:t xml:space="preserve">, </w:t>
      </w:r>
      <w:r w:rsidR="00753CD6" w:rsidRPr="00311B07">
        <w:rPr>
          <w:rFonts w:ascii="Times New Roman" w:hAnsi="Times New Roman" w:cs="Times New Roman"/>
          <w:sz w:val="28"/>
          <w:szCs w:val="28"/>
        </w:rPr>
        <w:t>та на суму 0,</w:t>
      </w:r>
      <w:r w:rsidR="00B54513" w:rsidRPr="00311B07">
        <w:rPr>
          <w:rFonts w:ascii="Times New Roman" w:hAnsi="Times New Roman" w:cs="Times New Roman"/>
          <w:sz w:val="28"/>
          <w:szCs w:val="28"/>
        </w:rPr>
        <w:t>5</w:t>
      </w:r>
      <w:r w:rsidR="00667CFE" w:rsidRPr="00311B07">
        <w:rPr>
          <w:rFonts w:ascii="Times New Roman" w:hAnsi="Times New Roman" w:cs="Times New Roman"/>
          <w:sz w:val="28"/>
          <w:szCs w:val="28"/>
        </w:rPr>
        <w:t> </w:t>
      </w:r>
      <w:r w:rsidR="007C5214" w:rsidRPr="00311B07">
        <w:rPr>
          <w:rFonts w:ascii="Times New Roman" w:hAnsi="Times New Roman" w:cs="Times New Roman"/>
          <w:sz w:val="28"/>
          <w:szCs w:val="28"/>
        </w:rPr>
        <w:t>млрд</w:t>
      </w:r>
      <w:r w:rsidR="00667CFE" w:rsidRPr="00311B07">
        <w:rPr>
          <w:rFonts w:ascii="Times New Roman" w:hAnsi="Times New Roman" w:cs="Times New Roman"/>
          <w:sz w:val="28"/>
          <w:szCs w:val="28"/>
        </w:rPr>
        <w:t> </w:t>
      </w:r>
      <w:r w:rsidR="00CB7005" w:rsidRPr="00311B07">
        <w:rPr>
          <w:rFonts w:ascii="Times New Roman" w:hAnsi="Times New Roman" w:cs="Times New Roman"/>
          <w:sz w:val="28"/>
          <w:szCs w:val="28"/>
        </w:rPr>
        <w:t>євро</w:t>
      </w:r>
      <w:r w:rsidR="00753CD6" w:rsidRPr="00311B07">
        <w:rPr>
          <w:rFonts w:ascii="Times New Roman" w:hAnsi="Times New Roman" w:cs="Times New Roman"/>
          <w:sz w:val="28"/>
          <w:szCs w:val="28"/>
        </w:rPr>
        <w:t xml:space="preserve">, або </w:t>
      </w:r>
      <w:r w:rsidR="007D38F9" w:rsidRPr="00311B07">
        <w:rPr>
          <w:rFonts w:ascii="Times New Roman" w:hAnsi="Times New Roman" w:cs="Times New Roman"/>
          <w:sz w:val="28"/>
          <w:szCs w:val="28"/>
        </w:rPr>
        <w:t>1</w:t>
      </w:r>
      <w:r w:rsidR="00B54513" w:rsidRPr="00311B07">
        <w:rPr>
          <w:rFonts w:ascii="Times New Roman" w:hAnsi="Times New Roman" w:cs="Times New Roman"/>
          <w:sz w:val="28"/>
          <w:szCs w:val="28"/>
        </w:rPr>
        <w:t>5</w:t>
      </w:r>
      <w:r w:rsidR="00753CD6" w:rsidRPr="00311B07">
        <w:rPr>
          <w:rFonts w:ascii="Times New Roman" w:hAnsi="Times New Roman" w:cs="Times New Roman"/>
          <w:sz w:val="28"/>
          <w:szCs w:val="28"/>
        </w:rPr>
        <w:t>,</w:t>
      </w:r>
      <w:r w:rsidR="00B54513" w:rsidRPr="00311B07">
        <w:rPr>
          <w:rFonts w:ascii="Times New Roman" w:hAnsi="Times New Roman" w:cs="Times New Roman"/>
          <w:sz w:val="28"/>
          <w:szCs w:val="28"/>
        </w:rPr>
        <w:t>8</w:t>
      </w:r>
      <w:r w:rsidR="00753CD6" w:rsidRPr="00311B07">
        <w:rPr>
          <w:rFonts w:ascii="Times New Roman" w:hAnsi="Times New Roman" w:cs="Times New Roman"/>
          <w:sz w:val="28"/>
          <w:szCs w:val="28"/>
        </w:rPr>
        <w:t xml:space="preserve">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xml:space="preserve"> гривень</w:t>
      </w:r>
      <w:r w:rsidR="00EC7FCB">
        <w:rPr>
          <w:rFonts w:ascii="Times New Roman" w:hAnsi="Times New Roman" w:cs="Times New Roman"/>
          <w:sz w:val="28"/>
          <w:szCs w:val="28"/>
        </w:rPr>
        <w:t>).</w:t>
      </w:r>
    </w:p>
    <w:p w14:paraId="4A7355B9" w14:textId="13243473" w:rsidR="00535DD1" w:rsidRPr="00311B07" w:rsidRDefault="00CB7005" w:rsidP="000545FD">
      <w:pPr>
        <w:spacing w:after="80" w:line="240" w:lineRule="auto"/>
        <w:ind w:right="-1" w:firstLine="709"/>
        <w:jc w:val="both"/>
        <w:rPr>
          <w:rFonts w:ascii="Times New Roman" w:hAnsi="Times New Roman" w:cs="Times New Roman"/>
          <w:sz w:val="28"/>
          <w:szCs w:val="28"/>
        </w:rPr>
      </w:pPr>
      <w:r w:rsidRPr="00311B07">
        <w:rPr>
          <w:rFonts w:ascii="Times New Roman" w:hAnsi="Times New Roman" w:cs="Times New Roman"/>
          <w:sz w:val="28"/>
          <w:szCs w:val="28"/>
        </w:rPr>
        <w:t>Д</w:t>
      </w:r>
      <w:r w:rsidR="00535DD1" w:rsidRPr="00311B07">
        <w:rPr>
          <w:rFonts w:ascii="Times New Roman" w:hAnsi="Times New Roman" w:cs="Times New Roman"/>
          <w:sz w:val="28"/>
          <w:szCs w:val="28"/>
        </w:rPr>
        <w:t>ержавн</w:t>
      </w:r>
      <w:r w:rsidRPr="00311B07">
        <w:rPr>
          <w:rFonts w:ascii="Times New Roman" w:hAnsi="Times New Roman" w:cs="Times New Roman"/>
          <w:sz w:val="28"/>
          <w:szCs w:val="28"/>
        </w:rPr>
        <w:t>і</w:t>
      </w:r>
      <w:r w:rsidR="00535DD1" w:rsidRPr="00311B07">
        <w:rPr>
          <w:rFonts w:ascii="Times New Roman" w:hAnsi="Times New Roman" w:cs="Times New Roman"/>
          <w:sz w:val="28"/>
          <w:szCs w:val="28"/>
        </w:rPr>
        <w:t xml:space="preserve"> зовнішні запозичен</w:t>
      </w:r>
      <w:r w:rsidRPr="00311B07">
        <w:rPr>
          <w:rFonts w:ascii="Times New Roman" w:hAnsi="Times New Roman" w:cs="Times New Roman"/>
          <w:sz w:val="28"/>
          <w:szCs w:val="28"/>
        </w:rPr>
        <w:t>ня</w:t>
      </w:r>
      <w:r w:rsidR="00535DD1" w:rsidRPr="00311B07">
        <w:rPr>
          <w:rFonts w:ascii="Times New Roman" w:hAnsi="Times New Roman" w:cs="Times New Roman"/>
          <w:sz w:val="28"/>
          <w:szCs w:val="28"/>
        </w:rPr>
        <w:t xml:space="preserve"> </w:t>
      </w:r>
      <w:r w:rsidRPr="00311B07">
        <w:rPr>
          <w:rFonts w:ascii="Times New Roman" w:hAnsi="Times New Roman" w:cs="Times New Roman"/>
          <w:sz w:val="28"/>
          <w:szCs w:val="28"/>
        </w:rPr>
        <w:t>у</w:t>
      </w:r>
      <w:r w:rsidR="00535DD1" w:rsidRPr="00311B07">
        <w:rPr>
          <w:rFonts w:ascii="Times New Roman" w:hAnsi="Times New Roman" w:cs="Times New Roman"/>
          <w:sz w:val="28"/>
          <w:szCs w:val="28"/>
        </w:rPr>
        <w:t xml:space="preserve"> </w:t>
      </w:r>
      <w:r w:rsidR="00CF1F8B" w:rsidRPr="00311B07">
        <w:rPr>
          <w:rFonts w:ascii="Times New Roman" w:hAnsi="Times New Roman" w:cs="Times New Roman"/>
          <w:sz w:val="28"/>
          <w:szCs w:val="28"/>
        </w:rPr>
        <w:t>2018</w:t>
      </w:r>
      <w:r w:rsidR="00535DD1" w:rsidRPr="00311B07">
        <w:rPr>
          <w:rFonts w:ascii="Times New Roman" w:hAnsi="Times New Roman" w:cs="Times New Roman"/>
          <w:sz w:val="28"/>
          <w:szCs w:val="28"/>
        </w:rPr>
        <w:t> р</w:t>
      </w:r>
      <w:r w:rsidRPr="00311B07">
        <w:rPr>
          <w:rFonts w:ascii="Times New Roman" w:hAnsi="Times New Roman" w:cs="Times New Roman"/>
          <w:sz w:val="28"/>
          <w:szCs w:val="28"/>
        </w:rPr>
        <w:t xml:space="preserve">оці здійснені </w:t>
      </w:r>
      <w:r w:rsidR="00753CD6" w:rsidRPr="00311B07">
        <w:rPr>
          <w:rFonts w:ascii="Times New Roman" w:hAnsi="Times New Roman" w:cs="Times New Roman"/>
          <w:sz w:val="28"/>
          <w:szCs w:val="28"/>
        </w:rPr>
        <w:t>на суму 1</w:t>
      </w:r>
      <w:r w:rsidR="00CD1CEA" w:rsidRPr="00311B07">
        <w:rPr>
          <w:rFonts w:ascii="Times New Roman" w:hAnsi="Times New Roman" w:cs="Times New Roman"/>
          <w:sz w:val="28"/>
          <w:szCs w:val="28"/>
        </w:rPr>
        <w:t>12</w:t>
      </w:r>
      <w:r w:rsidR="00753CD6" w:rsidRPr="00311B07">
        <w:rPr>
          <w:rFonts w:ascii="Times New Roman" w:hAnsi="Times New Roman" w:cs="Times New Roman"/>
          <w:sz w:val="28"/>
          <w:szCs w:val="28"/>
        </w:rPr>
        <w:t>,</w:t>
      </w:r>
      <w:r w:rsidR="00E239B9">
        <w:rPr>
          <w:rFonts w:ascii="Times New Roman" w:hAnsi="Times New Roman" w:cs="Times New Roman"/>
          <w:sz w:val="28"/>
          <w:szCs w:val="28"/>
        </w:rPr>
        <w:t>3</w:t>
      </w:r>
      <w:r w:rsidR="00753CD6" w:rsidRPr="00311B07">
        <w:rPr>
          <w:rFonts w:ascii="Times New Roman" w:hAnsi="Times New Roman" w:cs="Times New Roman"/>
          <w:sz w:val="28"/>
          <w:szCs w:val="28"/>
        </w:rPr>
        <w:t> </w:t>
      </w:r>
      <w:r w:rsidR="007C5214" w:rsidRPr="00311B07">
        <w:rPr>
          <w:rFonts w:ascii="Times New Roman" w:hAnsi="Times New Roman" w:cs="Times New Roman"/>
          <w:sz w:val="28"/>
          <w:szCs w:val="28"/>
        </w:rPr>
        <w:t>млрд</w:t>
      </w:r>
      <w:r w:rsidR="00753CD6" w:rsidRPr="00311B07">
        <w:rPr>
          <w:rFonts w:ascii="Times New Roman" w:hAnsi="Times New Roman" w:cs="Times New Roman"/>
          <w:sz w:val="28"/>
          <w:szCs w:val="28"/>
        </w:rPr>
        <w:t> </w:t>
      </w:r>
      <w:r w:rsidR="007C5214" w:rsidRPr="00311B07">
        <w:rPr>
          <w:rFonts w:ascii="Times New Roman" w:hAnsi="Times New Roman" w:cs="Times New Roman"/>
          <w:sz w:val="28"/>
          <w:szCs w:val="28"/>
        </w:rPr>
        <w:t>грн</w:t>
      </w:r>
      <w:r w:rsidR="00753CD6" w:rsidRPr="00311B07">
        <w:rPr>
          <w:rFonts w:ascii="Times New Roman" w:hAnsi="Times New Roman" w:cs="Times New Roman"/>
          <w:sz w:val="28"/>
          <w:szCs w:val="28"/>
        </w:rPr>
        <w:t xml:space="preserve"> </w:t>
      </w:r>
      <w:r w:rsidRPr="00311B07">
        <w:rPr>
          <w:rFonts w:ascii="Times New Roman" w:hAnsi="Times New Roman" w:cs="Times New Roman"/>
          <w:sz w:val="28"/>
          <w:szCs w:val="28"/>
        </w:rPr>
        <w:t>шляхом:</w:t>
      </w:r>
      <w:r w:rsidR="00535DD1" w:rsidRPr="00311B07">
        <w:rPr>
          <w:rFonts w:ascii="Times New Roman" w:hAnsi="Times New Roman" w:cs="Times New Roman"/>
          <w:sz w:val="28"/>
          <w:szCs w:val="28"/>
        </w:rPr>
        <w:t xml:space="preserve"> </w:t>
      </w:r>
    </w:p>
    <w:p w14:paraId="45AC802F" w14:textId="77777777" w:rsidR="00440526" w:rsidRPr="00311B07" w:rsidRDefault="00CE4F5E" w:rsidP="000545FD">
      <w:pPr>
        <w:spacing w:after="80" w:line="240" w:lineRule="auto"/>
        <w:ind w:right="-1" w:firstLine="709"/>
        <w:jc w:val="both"/>
        <w:rPr>
          <w:rFonts w:ascii="Times New Roman" w:hAnsi="Times New Roman" w:cs="Times New Roman"/>
          <w:sz w:val="28"/>
          <w:szCs w:val="28"/>
        </w:rPr>
      </w:pPr>
      <w:r w:rsidRPr="00311B07">
        <w:rPr>
          <w:rFonts w:ascii="Times New Roman" w:hAnsi="Times New Roman" w:cs="Times New Roman"/>
          <w:sz w:val="28"/>
          <w:szCs w:val="28"/>
        </w:rPr>
        <w:t>-</w:t>
      </w:r>
      <w:r w:rsidR="00B0214B" w:rsidRPr="00311B07">
        <w:rPr>
          <w:rFonts w:ascii="Times New Roman" w:hAnsi="Times New Roman" w:cs="Times New Roman"/>
          <w:sz w:val="28"/>
          <w:szCs w:val="28"/>
        </w:rPr>
        <w:t xml:space="preserve"> </w:t>
      </w:r>
      <w:r w:rsidR="00C311E4" w:rsidRPr="00311B07">
        <w:rPr>
          <w:rFonts w:ascii="Times New Roman" w:hAnsi="Times New Roman" w:cs="Times New Roman"/>
          <w:sz w:val="28"/>
          <w:szCs w:val="28"/>
        </w:rPr>
        <w:t xml:space="preserve">приватного </w:t>
      </w:r>
      <w:r w:rsidR="00B0214B" w:rsidRPr="00311B07">
        <w:rPr>
          <w:rFonts w:ascii="Times New Roman" w:eastAsia="Calibri" w:hAnsi="Times New Roman" w:cs="Times New Roman"/>
          <w:sz w:val="28"/>
          <w:szCs w:val="28"/>
        </w:rPr>
        <w:t xml:space="preserve">розміщення короткострокових дисконтних </w:t>
      </w:r>
      <w:r w:rsidR="00440526" w:rsidRPr="00311B07">
        <w:rPr>
          <w:rFonts w:ascii="Times New Roman" w:hAnsi="Times New Roman" w:cs="Times New Roman"/>
          <w:sz w:val="28"/>
          <w:szCs w:val="28"/>
        </w:rPr>
        <w:t xml:space="preserve">ОЗДП на суму </w:t>
      </w:r>
      <w:r w:rsidR="00B0214B" w:rsidRPr="00311B07">
        <w:rPr>
          <w:rFonts w:ascii="Times New Roman" w:hAnsi="Times New Roman" w:cs="Times New Roman"/>
          <w:sz w:val="28"/>
          <w:szCs w:val="28"/>
        </w:rPr>
        <w:t>19,4</w:t>
      </w:r>
      <w:r w:rsidR="00CF65AF" w:rsidRPr="00311B07">
        <w:rPr>
          <w:rFonts w:ascii="Times New Roman" w:hAnsi="Times New Roman" w:cs="Times New Roman"/>
          <w:sz w:val="28"/>
          <w:szCs w:val="28"/>
          <w:lang w:val="en-US"/>
        </w:rPr>
        <w:t> </w:t>
      </w:r>
      <w:r w:rsidR="007C5214" w:rsidRPr="00311B07">
        <w:rPr>
          <w:rFonts w:ascii="Times New Roman" w:hAnsi="Times New Roman" w:cs="Times New Roman"/>
          <w:sz w:val="28"/>
          <w:szCs w:val="28"/>
        </w:rPr>
        <w:t>млрд</w:t>
      </w:r>
      <w:r w:rsidRPr="00311B07">
        <w:rPr>
          <w:rFonts w:ascii="Times New Roman" w:hAnsi="Times New Roman" w:cs="Times New Roman"/>
          <w:sz w:val="28"/>
          <w:szCs w:val="28"/>
        </w:rPr>
        <w:t> </w:t>
      </w:r>
      <w:r w:rsidR="007C5214" w:rsidRPr="00311B07">
        <w:rPr>
          <w:rFonts w:ascii="Times New Roman" w:hAnsi="Times New Roman" w:cs="Times New Roman"/>
          <w:sz w:val="28"/>
          <w:szCs w:val="28"/>
        </w:rPr>
        <w:t>грн</w:t>
      </w:r>
      <w:r w:rsidR="00464B4D" w:rsidRPr="00311B07">
        <w:rPr>
          <w:rFonts w:ascii="Times New Roman" w:hAnsi="Times New Roman" w:cs="Times New Roman"/>
          <w:sz w:val="28"/>
          <w:szCs w:val="28"/>
        </w:rPr>
        <w:t xml:space="preserve"> (</w:t>
      </w:r>
      <w:r w:rsidR="00C311E4" w:rsidRPr="00311B07">
        <w:rPr>
          <w:rFonts w:ascii="Times New Roman" w:hAnsi="Times New Roman" w:cs="Times New Roman"/>
          <w:sz w:val="28"/>
          <w:szCs w:val="28"/>
        </w:rPr>
        <w:t xml:space="preserve">0,7 </w:t>
      </w:r>
      <w:r w:rsidR="007C5214" w:rsidRPr="00311B07">
        <w:rPr>
          <w:rFonts w:ascii="Times New Roman" w:hAnsi="Times New Roman" w:cs="Times New Roman"/>
          <w:sz w:val="28"/>
          <w:szCs w:val="28"/>
        </w:rPr>
        <w:t>млрд</w:t>
      </w:r>
      <w:r w:rsidR="00464B4D" w:rsidRPr="00311B07">
        <w:rPr>
          <w:rFonts w:ascii="Times New Roman" w:hAnsi="Times New Roman" w:cs="Times New Roman"/>
          <w:sz w:val="28"/>
          <w:szCs w:val="28"/>
        </w:rPr>
        <w:t xml:space="preserve"> доларів США)</w:t>
      </w:r>
      <w:r w:rsidR="00377EED" w:rsidRPr="00311B07">
        <w:rPr>
          <w:rFonts w:ascii="Times New Roman" w:hAnsi="Times New Roman" w:cs="Times New Roman"/>
          <w:sz w:val="28"/>
          <w:szCs w:val="28"/>
        </w:rPr>
        <w:t>,</w:t>
      </w:r>
      <w:r w:rsidR="00B766D0" w:rsidRPr="00311B07">
        <w:rPr>
          <w:rFonts w:ascii="Times New Roman" w:hAnsi="Times New Roman" w:cs="Times New Roman"/>
          <w:sz w:val="28"/>
          <w:szCs w:val="28"/>
        </w:rPr>
        <w:t xml:space="preserve"> або 17,3% загального обсягу державних зовнішніх запозичень</w:t>
      </w:r>
      <w:r w:rsidR="00440526" w:rsidRPr="00311B07">
        <w:rPr>
          <w:rFonts w:ascii="Times New Roman" w:hAnsi="Times New Roman" w:cs="Times New Roman"/>
          <w:sz w:val="28"/>
          <w:szCs w:val="28"/>
        </w:rPr>
        <w:t>;</w:t>
      </w:r>
    </w:p>
    <w:p w14:paraId="05BE6D16" w14:textId="77777777" w:rsidR="00B0214B" w:rsidRPr="00311B07" w:rsidRDefault="00CE4F5E" w:rsidP="000545FD">
      <w:pPr>
        <w:spacing w:after="80" w:line="240" w:lineRule="auto"/>
        <w:ind w:right="-1" w:firstLine="709"/>
        <w:jc w:val="both"/>
        <w:rPr>
          <w:rFonts w:ascii="Times New Roman" w:hAnsi="Times New Roman" w:cs="Times New Roman"/>
          <w:sz w:val="28"/>
          <w:szCs w:val="28"/>
        </w:rPr>
      </w:pPr>
      <w:r w:rsidRPr="00311B07">
        <w:rPr>
          <w:rFonts w:ascii="Times New Roman" w:hAnsi="Times New Roman" w:cs="Times New Roman"/>
          <w:sz w:val="28"/>
          <w:szCs w:val="28"/>
        </w:rPr>
        <w:t>- </w:t>
      </w:r>
      <w:r w:rsidR="00C311E4" w:rsidRPr="00311B07">
        <w:rPr>
          <w:rFonts w:ascii="Times New Roman" w:hAnsi="Times New Roman" w:cs="Times New Roman"/>
          <w:sz w:val="28"/>
          <w:szCs w:val="28"/>
        </w:rPr>
        <w:t xml:space="preserve">публічного </w:t>
      </w:r>
      <w:r w:rsidR="00B0214B" w:rsidRPr="00311B07">
        <w:rPr>
          <w:rFonts w:ascii="Times New Roman" w:eastAsia="Calibri" w:hAnsi="Times New Roman" w:cs="Times New Roman"/>
          <w:sz w:val="28"/>
          <w:szCs w:val="28"/>
        </w:rPr>
        <w:t xml:space="preserve">розміщення довгострокових </w:t>
      </w:r>
      <w:r w:rsidR="00B0214B" w:rsidRPr="00311B07">
        <w:rPr>
          <w:rFonts w:ascii="Times New Roman" w:hAnsi="Times New Roman" w:cs="Times New Roman"/>
          <w:sz w:val="28"/>
          <w:szCs w:val="28"/>
        </w:rPr>
        <w:t xml:space="preserve">ОЗДП на суму 56,2 </w:t>
      </w:r>
      <w:r w:rsidR="007C5214" w:rsidRPr="00311B07">
        <w:rPr>
          <w:rFonts w:ascii="Times New Roman" w:hAnsi="Times New Roman" w:cs="Times New Roman"/>
          <w:sz w:val="28"/>
          <w:szCs w:val="28"/>
        </w:rPr>
        <w:t>млрд</w:t>
      </w:r>
      <w:r w:rsidR="00B0214B" w:rsidRPr="00311B07">
        <w:rPr>
          <w:rFonts w:ascii="Times New Roman" w:hAnsi="Times New Roman" w:cs="Times New Roman"/>
          <w:sz w:val="28"/>
          <w:szCs w:val="28"/>
        </w:rPr>
        <w:t> </w:t>
      </w:r>
      <w:r w:rsidR="007C5214" w:rsidRPr="00311B07">
        <w:rPr>
          <w:rFonts w:ascii="Times New Roman" w:hAnsi="Times New Roman" w:cs="Times New Roman"/>
          <w:sz w:val="28"/>
          <w:szCs w:val="28"/>
        </w:rPr>
        <w:t>грн</w:t>
      </w:r>
      <w:r w:rsidR="00B0214B" w:rsidRPr="00311B07">
        <w:rPr>
          <w:rFonts w:ascii="Times New Roman" w:hAnsi="Times New Roman" w:cs="Times New Roman"/>
          <w:sz w:val="28"/>
          <w:szCs w:val="28"/>
        </w:rPr>
        <w:t xml:space="preserve"> (2,0</w:t>
      </w:r>
      <w:r w:rsidR="00CF65AF" w:rsidRPr="00311B07">
        <w:rPr>
          <w:rFonts w:ascii="Times New Roman" w:hAnsi="Times New Roman" w:cs="Times New Roman"/>
          <w:sz w:val="28"/>
          <w:szCs w:val="28"/>
          <w:lang w:val="en-US"/>
        </w:rPr>
        <w:t> </w:t>
      </w:r>
      <w:r w:rsidR="007C5214" w:rsidRPr="00311B07">
        <w:rPr>
          <w:rFonts w:ascii="Times New Roman" w:hAnsi="Times New Roman" w:cs="Times New Roman"/>
          <w:sz w:val="28"/>
          <w:szCs w:val="28"/>
        </w:rPr>
        <w:t>млрд</w:t>
      </w:r>
      <w:r w:rsidR="00B0214B" w:rsidRPr="00311B07">
        <w:rPr>
          <w:rFonts w:ascii="Times New Roman" w:hAnsi="Times New Roman" w:cs="Times New Roman"/>
          <w:sz w:val="28"/>
          <w:szCs w:val="28"/>
        </w:rPr>
        <w:t xml:space="preserve"> доларів США), </w:t>
      </w:r>
      <w:r w:rsidR="00377EED" w:rsidRPr="00311B07">
        <w:rPr>
          <w:rFonts w:ascii="Times New Roman" w:hAnsi="Times New Roman" w:cs="Times New Roman"/>
          <w:sz w:val="28"/>
          <w:szCs w:val="28"/>
        </w:rPr>
        <w:t>або 50,0% загального обсягу державних зовнішніх запозичень,</w:t>
      </w:r>
      <w:r w:rsidR="00377EED" w:rsidRPr="00311B07">
        <w:rPr>
          <w:rFonts w:ascii="Times New Roman" w:eastAsia="Calibri" w:hAnsi="Times New Roman" w:cs="Times New Roman"/>
          <w:sz w:val="28"/>
          <w:szCs w:val="28"/>
        </w:rPr>
        <w:t xml:space="preserve"> </w:t>
      </w:r>
      <w:r w:rsidR="00B0214B" w:rsidRPr="00311B07">
        <w:rPr>
          <w:rFonts w:ascii="Times New Roman" w:eastAsia="Calibri" w:hAnsi="Times New Roman" w:cs="Times New Roman"/>
          <w:sz w:val="28"/>
          <w:szCs w:val="28"/>
        </w:rPr>
        <w:t>в тому числі на суму 0,7 </w:t>
      </w:r>
      <w:r w:rsidR="007C5214" w:rsidRPr="00311B07">
        <w:rPr>
          <w:rFonts w:ascii="Times New Roman" w:eastAsia="Calibri" w:hAnsi="Times New Roman" w:cs="Times New Roman"/>
          <w:sz w:val="28"/>
          <w:szCs w:val="28"/>
        </w:rPr>
        <w:t>млрд</w:t>
      </w:r>
      <w:r w:rsidR="00B0214B" w:rsidRPr="00311B07">
        <w:rPr>
          <w:rFonts w:ascii="Times New Roman" w:eastAsia="Calibri" w:hAnsi="Times New Roman" w:cs="Times New Roman"/>
          <w:sz w:val="28"/>
          <w:szCs w:val="28"/>
        </w:rPr>
        <w:t> </w:t>
      </w:r>
      <w:proofErr w:type="spellStart"/>
      <w:r w:rsidR="00B0214B" w:rsidRPr="00311B07">
        <w:rPr>
          <w:rFonts w:ascii="Times New Roman" w:eastAsia="Calibri" w:hAnsi="Times New Roman" w:cs="Times New Roman"/>
          <w:sz w:val="28"/>
          <w:szCs w:val="28"/>
        </w:rPr>
        <w:t>дол</w:t>
      </w:r>
      <w:proofErr w:type="spellEnd"/>
      <w:r w:rsidR="00B0214B" w:rsidRPr="00311B07">
        <w:rPr>
          <w:rFonts w:ascii="Times New Roman" w:eastAsia="Calibri" w:hAnsi="Times New Roman" w:cs="Times New Roman"/>
          <w:sz w:val="28"/>
          <w:szCs w:val="28"/>
        </w:rPr>
        <w:t>. США для здійснення правочину з дострокового погашення/викупу короткострокових дисконтних ОЗДП</w:t>
      </w:r>
      <w:r w:rsidR="008977BD" w:rsidRPr="00311B07">
        <w:rPr>
          <w:rFonts w:ascii="Times New Roman" w:hAnsi="Times New Roman" w:cs="Times New Roman"/>
          <w:sz w:val="28"/>
          <w:szCs w:val="28"/>
        </w:rPr>
        <w:t>;</w:t>
      </w:r>
    </w:p>
    <w:p w14:paraId="756B8895" w14:textId="6EFCE96E" w:rsidR="00B0214B" w:rsidRPr="00311B07" w:rsidRDefault="00B766D0" w:rsidP="000545FD">
      <w:pPr>
        <w:spacing w:after="80" w:line="240" w:lineRule="auto"/>
        <w:ind w:right="-1" w:firstLine="709"/>
        <w:jc w:val="both"/>
        <w:rPr>
          <w:rFonts w:ascii="Times New Roman" w:hAnsi="Times New Roman" w:cs="Times New Roman"/>
          <w:sz w:val="28"/>
          <w:szCs w:val="28"/>
        </w:rPr>
      </w:pPr>
      <w:r w:rsidRPr="00311B07">
        <w:rPr>
          <w:rFonts w:ascii="Times New Roman" w:hAnsi="Times New Roman" w:cs="Times New Roman"/>
          <w:sz w:val="28"/>
          <w:szCs w:val="28"/>
        </w:rPr>
        <w:t>- </w:t>
      </w:r>
      <w:r w:rsidRPr="00311B07">
        <w:rPr>
          <w:rFonts w:ascii="Times New Roman" w:eastAsia="Calibri" w:hAnsi="Times New Roman" w:cs="Times New Roman"/>
          <w:sz w:val="28"/>
          <w:szCs w:val="28"/>
        </w:rPr>
        <w:t xml:space="preserve">отримання першого траншу в рамках четвертої програми макрофінансової допомоги Європейського Союзу </w:t>
      </w:r>
      <w:r w:rsidR="00BD1B38" w:rsidRPr="00311B07">
        <w:rPr>
          <w:rFonts w:ascii="Times New Roman" w:eastAsia="Calibri" w:hAnsi="Times New Roman" w:cs="Times New Roman"/>
          <w:sz w:val="28"/>
          <w:szCs w:val="28"/>
        </w:rPr>
        <w:t>на суму</w:t>
      </w:r>
      <w:r w:rsidRPr="00311B07">
        <w:rPr>
          <w:rFonts w:ascii="Times New Roman" w:eastAsia="Calibri" w:hAnsi="Times New Roman" w:cs="Times New Roman"/>
          <w:sz w:val="28"/>
          <w:szCs w:val="28"/>
        </w:rPr>
        <w:t xml:space="preserve"> </w:t>
      </w:r>
      <w:r w:rsidR="005A263F" w:rsidRPr="00311B07">
        <w:rPr>
          <w:rFonts w:ascii="Times New Roman" w:eastAsia="Calibri" w:hAnsi="Times New Roman" w:cs="Times New Roman"/>
          <w:sz w:val="28"/>
          <w:szCs w:val="28"/>
        </w:rPr>
        <w:t>15,9 млрд грн</w:t>
      </w:r>
      <w:r w:rsidRPr="00311B07">
        <w:rPr>
          <w:rFonts w:ascii="Times New Roman" w:eastAsia="Calibri" w:hAnsi="Times New Roman" w:cs="Times New Roman"/>
          <w:sz w:val="28"/>
          <w:szCs w:val="28"/>
        </w:rPr>
        <w:t xml:space="preserve"> (</w:t>
      </w:r>
      <w:r w:rsidR="005A263F" w:rsidRPr="00311B07">
        <w:rPr>
          <w:rFonts w:ascii="Times New Roman" w:eastAsia="Calibri" w:hAnsi="Times New Roman" w:cs="Times New Roman"/>
          <w:sz w:val="28"/>
          <w:szCs w:val="28"/>
        </w:rPr>
        <w:t>0,5</w:t>
      </w:r>
      <w:r w:rsidR="000545FD" w:rsidRPr="00311B07">
        <w:rPr>
          <w:rFonts w:ascii="Times New Roman" w:eastAsia="Calibri" w:hAnsi="Times New Roman" w:cs="Times New Roman"/>
          <w:sz w:val="28"/>
          <w:szCs w:val="28"/>
        </w:rPr>
        <w:t> </w:t>
      </w:r>
      <w:r w:rsidR="007C5214" w:rsidRPr="00311B07">
        <w:rPr>
          <w:rFonts w:ascii="Times New Roman" w:eastAsia="Calibri" w:hAnsi="Times New Roman" w:cs="Times New Roman"/>
          <w:sz w:val="28"/>
          <w:szCs w:val="28"/>
        </w:rPr>
        <w:t>млрд</w:t>
      </w:r>
      <w:r w:rsidR="005A263F" w:rsidRPr="00311B07">
        <w:rPr>
          <w:rFonts w:ascii="Times New Roman" w:eastAsia="Calibri" w:hAnsi="Times New Roman" w:cs="Times New Roman"/>
          <w:sz w:val="28"/>
          <w:szCs w:val="28"/>
        </w:rPr>
        <w:t xml:space="preserve"> євро</w:t>
      </w:r>
      <w:r w:rsidRPr="00311B07">
        <w:rPr>
          <w:rFonts w:ascii="Times New Roman" w:eastAsia="Calibri" w:hAnsi="Times New Roman" w:cs="Times New Roman"/>
          <w:sz w:val="28"/>
          <w:szCs w:val="28"/>
        </w:rPr>
        <w:t>)</w:t>
      </w:r>
      <w:r w:rsidR="00377EED" w:rsidRPr="00311B07">
        <w:rPr>
          <w:rFonts w:ascii="Times New Roman" w:hAnsi="Times New Roman" w:cs="Times New Roman"/>
          <w:sz w:val="28"/>
          <w:szCs w:val="28"/>
        </w:rPr>
        <w:t>,</w:t>
      </w:r>
      <w:r w:rsidR="008977BD" w:rsidRPr="00311B07">
        <w:rPr>
          <w:rFonts w:ascii="Times New Roman" w:hAnsi="Times New Roman" w:cs="Times New Roman"/>
          <w:sz w:val="28"/>
          <w:szCs w:val="28"/>
        </w:rPr>
        <w:t xml:space="preserve"> або 14,</w:t>
      </w:r>
      <w:r w:rsidR="00E239B9">
        <w:rPr>
          <w:rFonts w:ascii="Times New Roman" w:hAnsi="Times New Roman" w:cs="Times New Roman"/>
          <w:sz w:val="28"/>
          <w:szCs w:val="28"/>
        </w:rPr>
        <w:t>2</w:t>
      </w:r>
      <w:r w:rsidR="008977BD" w:rsidRPr="00311B07">
        <w:rPr>
          <w:rFonts w:ascii="Times New Roman" w:hAnsi="Times New Roman" w:cs="Times New Roman"/>
          <w:sz w:val="28"/>
          <w:szCs w:val="28"/>
        </w:rPr>
        <w:t>% загального обсягу державних зовнішніх запозичень</w:t>
      </w:r>
      <w:r w:rsidRPr="00311B07">
        <w:rPr>
          <w:rFonts w:ascii="Times New Roman" w:eastAsia="Calibri" w:hAnsi="Times New Roman" w:cs="Times New Roman"/>
          <w:sz w:val="28"/>
          <w:szCs w:val="28"/>
        </w:rPr>
        <w:t>;</w:t>
      </w:r>
    </w:p>
    <w:p w14:paraId="3963A0AF" w14:textId="77941000" w:rsidR="008977BD" w:rsidRPr="00311B07" w:rsidRDefault="00B766D0" w:rsidP="000545FD">
      <w:pPr>
        <w:spacing w:after="80" w:line="240" w:lineRule="auto"/>
        <w:ind w:right="-1" w:firstLine="709"/>
        <w:jc w:val="both"/>
        <w:rPr>
          <w:rFonts w:ascii="Times New Roman" w:eastAsia="Calibri" w:hAnsi="Times New Roman" w:cs="Times New Roman"/>
          <w:sz w:val="28"/>
          <w:szCs w:val="28"/>
        </w:rPr>
      </w:pPr>
      <w:r w:rsidRPr="00311B07">
        <w:rPr>
          <w:rFonts w:ascii="Times New Roman" w:hAnsi="Times New Roman" w:cs="Times New Roman"/>
          <w:sz w:val="28"/>
          <w:szCs w:val="28"/>
        </w:rPr>
        <w:t>- </w:t>
      </w:r>
      <w:r w:rsidRPr="00311B07">
        <w:rPr>
          <w:rFonts w:ascii="Times New Roman" w:eastAsia="Calibri" w:hAnsi="Times New Roman" w:cs="Times New Roman"/>
          <w:sz w:val="28"/>
          <w:szCs w:val="28"/>
        </w:rPr>
        <w:t xml:space="preserve">отримання </w:t>
      </w:r>
      <w:r w:rsidR="00190FB0" w:rsidRPr="00311B07">
        <w:rPr>
          <w:rFonts w:ascii="Times New Roman" w:eastAsia="Calibri" w:hAnsi="Times New Roman" w:cs="Times New Roman"/>
          <w:sz w:val="28"/>
          <w:szCs w:val="28"/>
        </w:rPr>
        <w:t xml:space="preserve">першого траншу </w:t>
      </w:r>
      <w:r w:rsidRPr="00311B07">
        <w:rPr>
          <w:rFonts w:ascii="Times New Roman" w:eastAsia="Calibri" w:hAnsi="Times New Roman" w:cs="Times New Roman"/>
          <w:sz w:val="28"/>
          <w:szCs w:val="28"/>
        </w:rPr>
        <w:t xml:space="preserve">кредиту під </w:t>
      </w:r>
      <w:r w:rsidR="00190FB0" w:rsidRPr="00311B07">
        <w:rPr>
          <w:rFonts w:ascii="Times New Roman" w:eastAsia="Calibri" w:hAnsi="Times New Roman" w:cs="Times New Roman"/>
          <w:sz w:val="28"/>
          <w:szCs w:val="28"/>
        </w:rPr>
        <w:t>гарантію Світового банку</w:t>
      </w:r>
      <w:r w:rsidRPr="00311B07">
        <w:rPr>
          <w:rFonts w:ascii="Times New Roman" w:eastAsia="Calibri" w:hAnsi="Times New Roman" w:cs="Times New Roman"/>
          <w:sz w:val="28"/>
          <w:szCs w:val="28"/>
        </w:rPr>
        <w:t xml:space="preserve"> обсягом </w:t>
      </w:r>
      <w:r w:rsidR="00495ED6" w:rsidRPr="00311B07">
        <w:rPr>
          <w:rFonts w:ascii="Times New Roman" w:eastAsia="Calibri" w:hAnsi="Times New Roman" w:cs="Times New Roman"/>
          <w:sz w:val="28"/>
          <w:szCs w:val="28"/>
        </w:rPr>
        <w:t xml:space="preserve">10,9 </w:t>
      </w:r>
      <w:r w:rsidR="007C5214" w:rsidRPr="00311B07">
        <w:rPr>
          <w:rFonts w:ascii="Times New Roman" w:eastAsia="Calibri" w:hAnsi="Times New Roman" w:cs="Times New Roman"/>
          <w:sz w:val="28"/>
          <w:szCs w:val="28"/>
        </w:rPr>
        <w:t>млрд</w:t>
      </w:r>
      <w:r w:rsidR="00495ED6" w:rsidRPr="00311B07">
        <w:rPr>
          <w:rFonts w:ascii="Times New Roman" w:eastAsia="Calibri" w:hAnsi="Times New Roman" w:cs="Times New Roman"/>
          <w:sz w:val="28"/>
          <w:szCs w:val="28"/>
        </w:rPr>
        <w:t xml:space="preserve"> гривень</w:t>
      </w:r>
      <w:r w:rsidR="00495ED6" w:rsidRPr="00311B07" w:rsidDel="00495ED6">
        <w:rPr>
          <w:rFonts w:ascii="Times New Roman" w:eastAsia="Calibri" w:hAnsi="Times New Roman" w:cs="Times New Roman"/>
          <w:sz w:val="28"/>
          <w:szCs w:val="28"/>
        </w:rPr>
        <w:t xml:space="preserve"> </w:t>
      </w:r>
      <w:r w:rsidRPr="00311B07">
        <w:rPr>
          <w:rFonts w:ascii="Times New Roman" w:eastAsia="Calibri" w:hAnsi="Times New Roman" w:cs="Times New Roman"/>
          <w:sz w:val="28"/>
          <w:szCs w:val="28"/>
        </w:rPr>
        <w:t>(</w:t>
      </w:r>
      <w:r w:rsidR="00495ED6" w:rsidRPr="00311B07">
        <w:rPr>
          <w:rFonts w:ascii="Times New Roman" w:eastAsia="Calibri" w:hAnsi="Times New Roman" w:cs="Times New Roman"/>
          <w:sz w:val="28"/>
          <w:szCs w:val="28"/>
        </w:rPr>
        <w:t xml:space="preserve">0,3 </w:t>
      </w:r>
      <w:r w:rsidR="007C5214" w:rsidRPr="00311B07">
        <w:rPr>
          <w:rFonts w:ascii="Times New Roman" w:eastAsia="Calibri" w:hAnsi="Times New Roman" w:cs="Times New Roman"/>
          <w:sz w:val="28"/>
          <w:szCs w:val="28"/>
        </w:rPr>
        <w:t>млрд</w:t>
      </w:r>
      <w:r w:rsidR="00495ED6" w:rsidRPr="00311B07">
        <w:rPr>
          <w:rFonts w:ascii="Times New Roman" w:eastAsia="Calibri" w:hAnsi="Times New Roman" w:cs="Times New Roman"/>
          <w:sz w:val="28"/>
          <w:szCs w:val="28"/>
        </w:rPr>
        <w:t xml:space="preserve"> євро</w:t>
      </w:r>
      <w:r w:rsidRPr="00311B07">
        <w:rPr>
          <w:rFonts w:ascii="Times New Roman" w:eastAsia="Calibri" w:hAnsi="Times New Roman" w:cs="Times New Roman"/>
          <w:sz w:val="28"/>
          <w:szCs w:val="28"/>
        </w:rPr>
        <w:t>)</w:t>
      </w:r>
      <w:r w:rsidR="00377EED" w:rsidRPr="00311B07">
        <w:rPr>
          <w:rFonts w:ascii="Times New Roman" w:hAnsi="Times New Roman" w:cs="Times New Roman"/>
          <w:sz w:val="28"/>
          <w:szCs w:val="28"/>
        </w:rPr>
        <w:t>,</w:t>
      </w:r>
      <w:r w:rsidR="008977BD" w:rsidRPr="00311B07">
        <w:rPr>
          <w:rFonts w:ascii="Times New Roman" w:hAnsi="Times New Roman" w:cs="Times New Roman"/>
          <w:sz w:val="28"/>
          <w:szCs w:val="28"/>
        </w:rPr>
        <w:t xml:space="preserve"> або 9,</w:t>
      </w:r>
      <w:r w:rsidR="00E239B9">
        <w:rPr>
          <w:rFonts w:ascii="Times New Roman" w:hAnsi="Times New Roman" w:cs="Times New Roman"/>
          <w:sz w:val="28"/>
          <w:szCs w:val="28"/>
        </w:rPr>
        <w:t>7</w:t>
      </w:r>
      <w:r w:rsidR="008977BD" w:rsidRPr="00311B07">
        <w:rPr>
          <w:rFonts w:ascii="Times New Roman" w:hAnsi="Times New Roman" w:cs="Times New Roman"/>
          <w:sz w:val="28"/>
          <w:szCs w:val="28"/>
        </w:rPr>
        <w:t>% загального обсягу державних зовнішніх запозичень</w:t>
      </w:r>
      <w:r w:rsidR="008977BD" w:rsidRPr="00311B07">
        <w:rPr>
          <w:rFonts w:ascii="Times New Roman" w:eastAsia="Calibri" w:hAnsi="Times New Roman" w:cs="Times New Roman"/>
          <w:sz w:val="28"/>
          <w:szCs w:val="28"/>
        </w:rPr>
        <w:t>;</w:t>
      </w:r>
    </w:p>
    <w:p w14:paraId="3E182A6C" w14:textId="66A51B4E" w:rsidR="008977BD" w:rsidRPr="00311B07" w:rsidRDefault="008977BD" w:rsidP="000545FD">
      <w:pPr>
        <w:spacing w:after="80" w:line="240" w:lineRule="auto"/>
        <w:ind w:right="-1" w:firstLine="709"/>
        <w:jc w:val="both"/>
        <w:rPr>
          <w:rFonts w:ascii="Times New Roman" w:hAnsi="Times New Roman" w:cs="Times New Roman"/>
          <w:sz w:val="28"/>
          <w:szCs w:val="28"/>
        </w:rPr>
      </w:pPr>
      <w:r w:rsidRPr="00311B07">
        <w:rPr>
          <w:rFonts w:ascii="Times New Roman" w:hAnsi="Times New Roman" w:cs="Times New Roman"/>
          <w:sz w:val="28"/>
          <w:szCs w:val="28"/>
        </w:rPr>
        <w:t>- </w:t>
      </w:r>
      <w:r w:rsidR="0063712B" w:rsidRPr="00311B07">
        <w:rPr>
          <w:rFonts w:ascii="Times New Roman" w:hAnsi="Times New Roman" w:cs="Times New Roman"/>
          <w:sz w:val="28"/>
          <w:szCs w:val="28"/>
        </w:rPr>
        <w:t xml:space="preserve">отримання </w:t>
      </w:r>
      <w:r w:rsidR="00377EED" w:rsidRPr="00311B07">
        <w:rPr>
          <w:rFonts w:ascii="Times New Roman" w:hAnsi="Times New Roman" w:cs="Times New Roman"/>
          <w:sz w:val="28"/>
          <w:szCs w:val="28"/>
        </w:rPr>
        <w:t xml:space="preserve">коштів </w:t>
      </w:r>
      <w:r w:rsidRPr="00311B07">
        <w:rPr>
          <w:rFonts w:ascii="Times New Roman" w:eastAsia="Calibri" w:hAnsi="Times New Roman" w:cs="Times New Roman"/>
          <w:sz w:val="28"/>
          <w:szCs w:val="28"/>
        </w:rPr>
        <w:t xml:space="preserve">в рамках кредиту «Модернізація системи соціальної підтримки населення України» від МБРР </w:t>
      </w:r>
      <w:r w:rsidR="00A10ABB" w:rsidRPr="00311B07">
        <w:rPr>
          <w:rFonts w:ascii="Times New Roman" w:eastAsia="Calibri" w:hAnsi="Times New Roman" w:cs="Times New Roman"/>
          <w:sz w:val="28"/>
          <w:szCs w:val="28"/>
        </w:rPr>
        <w:t xml:space="preserve">до загального фонду </w:t>
      </w:r>
      <w:r w:rsidR="00377EED" w:rsidRPr="00311B07">
        <w:rPr>
          <w:rFonts w:ascii="Times New Roman" w:eastAsia="Calibri" w:hAnsi="Times New Roman" w:cs="Times New Roman"/>
          <w:sz w:val="28"/>
          <w:szCs w:val="28"/>
        </w:rPr>
        <w:t xml:space="preserve">державного бюджету в сумі </w:t>
      </w:r>
      <w:r w:rsidR="00E239B9" w:rsidRPr="00311B07">
        <w:rPr>
          <w:rFonts w:ascii="Times New Roman" w:eastAsia="Calibri" w:hAnsi="Times New Roman" w:cs="Times New Roman"/>
          <w:sz w:val="28"/>
          <w:szCs w:val="28"/>
        </w:rPr>
        <w:t xml:space="preserve">0,8 млрд гривень </w:t>
      </w:r>
      <w:r w:rsidRPr="00311B07">
        <w:rPr>
          <w:rFonts w:ascii="Times New Roman" w:eastAsia="Calibri" w:hAnsi="Times New Roman" w:cs="Times New Roman"/>
          <w:sz w:val="28"/>
          <w:szCs w:val="28"/>
        </w:rPr>
        <w:t>(</w:t>
      </w:r>
      <w:r w:rsidR="00E239B9" w:rsidRPr="00311B07">
        <w:rPr>
          <w:rFonts w:ascii="Times New Roman" w:eastAsia="Calibri" w:hAnsi="Times New Roman" w:cs="Times New Roman"/>
          <w:sz w:val="28"/>
          <w:szCs w:val="28"/>
        </w:rPr>
        <w:t>30,0 млн </w:t>
      </w:r>
      <w:proofErr w:type="spellStart"/>
      <w:r w:rsidR="00E239B9" w:rsidRPr="00311B07">
        <w:rPr>
          <w:rFonts w:ascii="Times New Roman" w:eastAsia="Calibri" w:hAnsi="Times New Roman" w:cs="Times New Roman"/>
          <w:sz w:val="28"/>
          <w:szCs w:val="28"/>
        </w:rPr>
        <w:t>дол</w:t>
      </w:r>
      <w:proofErr w:type="spellEnd"/>
      <w:r w:rsidR="00E239B9" w:rsidRPr="00311B07">
        <w:rPr>
          <w:rFonts w:ascii="Times New Roman" w:eastAsia="Calibri" w:hAnsi="Times New Roman" w:cs="Times New Roman"/>
          <w:sz w:val="28"/>
          <w:szCs w:val="28"/>
        </w:rPr>
        <w:t>. США</w:t>
      </w:r>
      <w:r w:rsidRPr="00311B07">
        <w:rPr>
          <w:rFonts w:ascii="Times New Roman" w:eastAsia="Calibri" w:hAnsi="Times New Roman" w:cs="Times New Roman"/>
          <w:sz w:val="28"/>
          <w:szCs w:val="28"/>
        </w:rPr>
        <w:t>)</w:t>
      </w:r>
      <w:r w:rsidR="00377EED" w:rsidRPr="00311B07">
        <w:rPr>
          <w:rFonts w:ascii="Times New Roman" w:hAnsi="Times New Roman" w:cs="Times New Roman"/>
          <w:sz w:val="28"/>
          <w:szCs w:val="28"/>
        </w:rPr>
        <w:t>,</w:t>
      </w:r>
      <w:r w:rsidRPr="00311B07">
        <w:rPr>
          <w:rFonts w:ascii="Times New Roman" w:hAnsi="Times New Roman" w:cs="Times New Roman"/>
          <w:sz w:val="28"/>
          <w:szCs w:val="28"/>
        </w:rPr>
        <w:t xml:space="preserve"> або 0,7% загального обсягу державних зовнішніх запозичень</w:t>
      </w:r>
      <w:r w:rsidRPr="00311B07">
        <w:rPr>
          <w:rFonts w:ascii="Times New Roman" w:eastAsia="Calibri" w:hAnsi="Times New Roman" w:cs="Times New Roman"/>
          <w:sz w:val="28"/>
          <w:szCs w:val="28"/>
        </w:rPr>
        <w:t>;</w:t>
      </w:r>
    </w:p>
    <w:p w14:paraId="40204AB3" w14:textId="77777777" w:rsidR="00535DD1" w:rsidRPr="00311B07" w:rsidRDefault="00B766D0" w:rsidP="000545FD">
      <w:pPr>
        <w:pStyle w:val="a3"/>
        <w:tabs>
          <w:tab w:val="left" w:pos="993"/>
        </w:tabs>
        <w:spacing w:before="0" w:beforeAutospacing="0" w:after="80" w:afterAutospacing="0"/>
        <w:ind w:right="-1" w:firstLine="709"/>
        <w:jc w:val="both"/>
        <w:rPr>
          <w:sz w:val="28"/>
          <w:szCs w:val="28"/>
        </w:rPr>
      </w:pPr>
      <w:r w:rsidRPr="00311B07">
        <w:rPr>
          <w:sz w:val="28"/>
          <w:szCs w:val="28"/>
        </w:rPr>
        <w:lastRenderedPageBreak/>
        <w:t>- </w:t>
      </w:r>
      <w:r w:rsidR="00CE4F5E" w:rsidRPr="00311B07">
        <w:rPr>
          <w:sz w:val="28"/>
          <w:szCs w:val="28"/>
        </w:rPr>
        <w:softHyphen/>
      </w:r>
      <w:r w:rsidR="00440526" w:rsidRPr="00311B07">
        <w:rPr>
          <w:sz w:val="28"/>
          <w:szCs w:val="28"/>
        </w:rPr>
        <w:t xml:space="preserve">отримання коштів на впровадження спільних з </w:t>
      </w:r>
      <w:r w:rsidR="00667CFE" w:rsidRPr="00311B07">
        <w:rPr>
          <w:sz w:val="28"/>
          <w:szCs w:val="28"/>
        </w:rPr>
        <w:t>МФО</w:t>
      </w:r>
      <w:r w:rsidR="00440526" w:rsidRPr="00311B07">
        <w:rPr>
          <w:sz w:val="28"/>
          <w:szCs w:val="28"/>
        </w:rPr>
        <w:t xml:space="preserve"> проектів до спеціального фонду державного бюджету на суму </w:t>
      </w:r>
      <w:r w:rsidRPr="00311B07">
        <w:rPr>
          <w:sz w:val="28"/>
          <w:szCs w:val="28"/>
        </w:rPr>
        <w:t>9,1</w:t>
      </w:r>
      <w:r w:rsidR="00535DD1" w:rsidRPr="00311B07">
        <w:rPr>
          <w:sz w:val="28"/>
          <w:szCs w:val="28"/>
        </w:rPr>
        <w:t> </w:t>
      </w:r>
      <w:r w:rsidR="007C5214" w:rsidRPr="00311B07">
        <w:rPr>
          <w:sz w:val="28"/>
          <w:szCs w:val="28"/>
        </w:rPr>
        <w:t>млрд</w:t>
      </w:r>
      <w:r w:rsidR="00535DD1" w:rsidRPr="00311B07">
        <w:rPr>
          <w:sz w:val="28"/>
          <w:szCs w:val="28"/>
        </w:rPr>
        <w:t> </w:t>
      </w:r>
      <w:r w:rsidR="007C5214" w:rsidRPr="00311B07">
        <w:rPr>
          <w:sz w:val="28"/>
          <w:szCs w:val="28"/>
        </w:rPr>
        <w:t>грн</w:t>
      </w:r>
      <w:r w:rsidR="00CE4F5E" w:rsidRPr="00311B07">
        <w:rPr>
          <w:sz w:val="28"/>
          <w:szCs w:val="28"/>
        </w:rPr>
        <w:t>,</w:t>
      </w:r>
      <w:r w:rsidR="00535DD1" w:rsidRPr="00311B07">
        <w:rPr>
          <w:sz w:val="28"/>
          <w:szCs w:val="28"/>
        </w:rPr>
        <w:t xml:space="preserve"> або </w:t>
      </w:r>
      <w:r w:rsidRPr="00311B07">
        <w:rPr>
          <w:sz w:val="28"/>
          <w:szCs w:val="28"/>
        </w:rPr>
        <w:t>8</w:t>
      </w:r>
      <w:r w:rsidR="00535DD1" w:rsidRPr="00311B07">
        <w:rPr>
          <w:sz w:val="28"/>
          <w:szCs w:val="28"/>
        </w:rPr>
        <w:t>,</w:t>
      </w:r>
      <w:r w:rsidRPr="00311B07">
        <w:rPr>
          <w:sz w:val="28"/>
          <w:szCs w:val="28"/>
        </w:rPr>
        <w:t>1</w:t>
      </w:r>
      <w:r w:rsidR="00535DD1" w:rsidRPr="00311B07">
        <w:rPr>
          <w:sz w:val="28"/>
          <w:szCs w:val="28"/>
        </w:rPr>
        <w:t>% загального обсягу державних зовнішніх запозичень</w:t>
      </w:r>
      <w:r w:rsidR="00440526" w:rsidRPr="00311B07">
        <w:rPr>
          <w:sz w:val="28"/>
          <w:szCs w:val="28"/>
        </w:rPr>
        <w:t>.</w:t>
      </w:r>
    </w:p>
    <w:p w14:paraId="31DE8A39" w14:textId="230F4E7B" w:rsidR="00F27CE1" w:rsidRPr="00311B07" w:rsidRDefault="00F27CE1" w:rsidP="00F27CE1">
      <w:pPr>
        <w:pStyle w:val="a3"/>
        <w:shd w:val="clear" w:color="auto" w:fill="FFFFFF"/>
        <w:tabs>
          <w:tab w:val="left" w:pos="851"/>
        </w:tabs>
        <w:spacing w:before="0" w:beforeAutospacing="0" w:after="80" w:afterAutospacing="0"/>
        <w:ind w:firstLine="709"/>
        <w:jc w:val="both"/>
        <w:rPr>
          <w:sz w:val="28"/>
          <w:szCs w:val="28"/>
        </w:rPr>
      </w:pPr>
      <w:r w:rsidRPr="00311B07">
        <w:rPr>
          <w:sz w:val="28"/>
          <w:szCs w:val="28"/>
        </w:rPr>
        <w:t xml:space="preserve">Боргові інструменти з фіксованою ставкою становили </w:t>
      </w:r>
      <w:r w:rsidRPr="00311B07">
        <w:rPr>
          <w:sz w:val="28"/>
          <w:szCs w:val="28"/>
          <w:lang w:val="ru-RU"/>
        </w:rPr>
        <w:t>92</w:t>
      </w:r>
      <w:r w:rsidR="008E4AF3">
        <w:rPr>
          <w:sz w:val="28"/>
          <w:szCs w:val="28"/>
        </w:rPr>
        <w:t>,2%, з плаваючою </w:t>
      </w:r>
      <w:r w:rsidRPr="00311B07">
        <w:rPr>
          <w:sz w:val="28"/>
          <w:szCs w:val="28"/>
        </w:rPr>
        <w:t>–</w:t>
      </w:r>
      <w:r w:rsidRPr="00311B07">
        <w:rPr>
          <w:sz w:val="28"/>
          <w:szCs w:val="28"/>
          <w:lang w:val="ru-RU"/>
        </w:rPr>
        <w:t xml:space="preserve"> 7,8</w:t>
      </w:r>
      <w:r w:rsidRPr="00311B07">
        <w:rPr>
          <w:sz w:val="28"/>
          <w:szCs w:val="28"/>
        </w:rPr>
        <w:t xml:space="preserve">% проти передбачених Програмою 92,3% та 7,7% відповідно. </w:t>
      </w:r>
    </w:p>
    <w:p w14:paraId="41697457" w14:textId="305365B9" w:rsidR="00FE6472" w:rsidRPr="00311B07" w:rsidRDefault="0044685E" w:rsidP="000545FD">
      <w:pPr>
        <w:spacing w:after="8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За термінами обігу найбільшу питому вагу у внутрішніх запозиченнях </w:t>
      </w:r>
      <w:r w:rsidR="00CF1F8B" w:rsidRPr="00311B07">
        <w:rPr>
          <w:rFonts w:ascii="Times New Roman" w:eastAsia="Times New Roman" w:hAnsi="Times New Roman" w:cs="Times New Roman"/>
          <w:sz w:val="28"/>
          <w:szCs w:val="28"/>
        </w:rPr>
        <w:t>2018</w:t>
      </w:r>
      <w:r w:rsidR="00EC7FCB">
        <w:rPr>
          <w:rFonts w:ascii="Times New Roman" w:eastAsia="Times New Roman" w:hAnsi="Times New Roman" w:cs="Times New Roman"/>
          <w:sz w:val="28"/>
          <w:szCs w:val="28"/>
        </w:rPr>
        <w:t> </w:t>
      </w:r>
      <w:r w:rsidRPr="00311B07">
        <w:rPr>
          <w:rFonts w:ascii="Times New Roman" w:eastAsia="Times New Roman" w:hAnsi="Times New Roman" w:cs="Times New Roman"/>
          <w:sz w:val="28"/>
          <w:szCs w:val="28"/>
        </w:rPr>
        <w:t xml:space="preserve">року мали </w:t>
      </w:r>
      <w:r w:rsidR="00B05DE8" w:rsidRPr="00311B07">
        <w:rPr>
          <w:rFonts w:ascii="Times New Roman" w:eastAsia="Times New Roman" w:hAnsi="Times New Roman" w:cs="Times New Roman"/>
          <w:sz w:val="28"/>
          <w:szCs w:val="28"/>
        </w:rPr>
        <w:t xml:space="preserve">короткострокові </w:t>
      </w:r>
      <w:r w:rsidRPr="00311B07">
        <w:rPr>
          <w:rFonts w:ascii="Times New Roman" w:eastAsia="Times New Roman" w:hAnsi="Times New Roman" w:cs="Times New Roman"/>
          <w:sz w:val="28"/>
          <w:szCs w:val="28"/>
        </w:rPr>
        <w:t xml:space="preserve">інструменти – </w:t>
      </w:r>
      <w:r w:rsidR="00B05DE8" w:rsidRPr="00311B07">
        <w:rPr>
          <w:rFonts w:ascii="Times New Roman" w:eastAsia="Times New Roman" w:hAnsi="Times New Roman" w:cs="Times New Roman"/>
          <w:sz w:val="28"/>
          <w:szCs w:val="28"/>
          <w:lang w:val="ru-RU"/>
        </w:rPr>
        <w:t>60,4</w:t>
      </w:r>
      <w:r w:rsidRPr="00311B07">
        <w:rPr>
          <w:rFonts w:ascii="Times New Roman" w:eastAsia="Times New Roman" w:hAnsi="Times New Roman" w:cs="Times New Roman"/>
          <w:sz w:val="28"/>
          <w:szCs w:val="28"/>
        </w:rPr>
        <w:t xml:space="preserve">%; середньострокові інструменти становили </w:t>
      </w:r>
      <w:r w:rsidR="00B05DE8" w:rsidRPr="00311B07">
        <w:rPr>
          <w:rFonts w:ascii="Times New Roman" w:eastAsia="Times New Roman" w:hAnsi="Times New Roman" w:cs="Times New Roman"/>
          <w:sz w:val="28"/>
          <w:szCs w:val="28"/>
          <w:lang w:val="ru-RU"/>
        </w:rPr>
        <w:t>39,5</w:t>
      </w:r>
      <w:r w:rsidRPr="00311B07">
        <w:rPr>
          <w:rFonts w:ascii="Times New Roman" w:eastAsia="Times New Roman" w:hAnsi="Times New Roman" w:cs="Times New Roman"/>
          <w:sz w:val="28"/>
          <w:szCs w:val="28"/>
        </w:rPr>
        <w:t xml:space="preserve">%, </w:t>
      </w:r>
      <w:r w:rsidR="00B05DE8" w:rsidRPr="00311B07">
        <w:rPr>
          <w:rFonts w:ascii="Times New Roman" w:eastAsia="Times New Roman" w:hAnsi="Times New Roman" w:cs="Times New Roman"/>
          <w:sz w:val="28"/>
          <w:szCs w:val="28"/>
        </w:rPr>
        <w:t xml:space="preserve">довгострокові </w:t>
      </w:r>
      <w:r w:rsidRPr="00311B07">
        <w:rPr>
          <w:rFonts w:ascii="Times New Roman" w:eastAsia="Times New Roman" w:hAnsi="Times New Roman" w:cs="Times New Roman"/>
          <w:sz w:val="28"/>
          <w:szCs w:val="28"/>
        </w:rPr>
        <w:t xml:space="preserve">– </w:t>
      </w:r>
      <w:r w:rsidR="00B05DE8" w:rsidRPr="00311B07">
        <w:rPr>
          <w:rFonts w:ascii="Times New Roman" w:eastAsia="Times New Roman" w:hAnsi="Times New Roman" w:cs="Times New Roman"/>
          <w:sz w:val="28"/>
          <w:szCs w:val="28"/>
          <w:lang w:val="ru-RU"/>
        </w:rPr>
        <w:t>0,1</w:t>
      </w:r>
      <w:r w:rsidRPr="00311B07">
        <w:rPr>
          <w:rFonts w:ascii="Times New Roman" w:eastAsia="Times New Roman" w:hAnsi="Times New Roman" w:cs="Times New Roman"/>
          <w:sz w:val="28"/>
          <w:szCs w:val="28"/>
        </w:rPr>
        <w:t xml:space="preserve">% (проти </w:t>
      </w:r>
      <w:r w:rsidR="00F562E4" w:rsidRPr="00311B07">
        <w:rPr>
          <w:rFonts w:ascii="Times New Roman" w:eastAsia="Times New Roman" w:hAnsi="Times New Roman" w:cs="Times New Roman"/>
          <w:sz w:val="28"/>
          <w:szCs w:val="28"/>
        </w:rPr>
        <w:t>передбачених Програмою</w:t>
      </w:r>
      <w:r w:rsidRPr="00311B07">
        <w:rPr>
          <w:rFonts w:ascii="Times New Roman" w:eastAsia="Times New Roman" w:hAnsi="Times New Roman" w:cs="Times New Roman"/>
          <w:sz w:val="28"/>
          <w:szCs w:val="28"/>
        </w:rPr>
        <w:t xml:space="preserve"> </w:t>
      </w:r>
      <w:r w:rsidR="00B05DE8" w:rsidRPr="00311B07">
        <w:rPr>
          <w:rFonts w:ascii="Times New Roman" w:eastAsia="Times New Roman" w:hAnsi="Times New Roman" w:cs="Times New Roman"/>
          <w:sz w:val="28"/>
          <w:szCs w:val="28"/>
        </w:rPr>
        <w:t>12,9%</w:t>
      </w:r>
      <w:r w:rsidRPr="00311B07">
        <w:rPr>
          <w:rFonts w:ascii="Times New Roman" w:eastAsia="Times New Roman" w:hAnsi="Times New Roman" w:cs="Times New Roman"/>
          <w:sz w:val="28"/>
          <w:szCs w:val="28"/>
        </w:rPr>
        <w:t xml:space="preserve">, </w:t>
      </w:r>
      <w:r w:rsidR="00477730" w:rsidRPr="00311B07">
        <w:rPr>
          <w:rFonts w:ascii="Times New Roman" w:eastAsia="Times New Roman" w:hAnsi="Times New Roman" w:cs="Times New Roman"/>
          <w:sz w:val="28"/>
          <w:szCs w:val="28"/>
        </w:rPr>
        <w:t>31,9</w:t>
      </w:r>
      <w:r w:rsidRPr="00311B07">
        <w:rPr>
          <w:rFonts w:ascii="Times New Roman" w:eastAsia="Times New Roman" w:hAnsi="Times New Roman" w:cs="Times New Roman"/>
          <w:sz w:val="28"/>
          <w:szCs w:val="28"/>
        </w:rPr>
        <w:t xml:space="preserve">% та </w:t>
      </w:r>
      <w:r w:rsidR="00B05DE8" w:rsidRPr="00311B07">
        <w:rPr>
          <w:rFonts w:ascii="Times New Roman" w:eastAsia="Times New Roman" w:hAnsi="Times New Roman" w:cs="Times New Roman"/>
          <w:sz w:val="28"/>
          <w:szCs w:val="28"/>
        </w:rPr>
        <w:t>55,1%</w:t>
      </w:r>
      <w:r w:rsidRPr="00311B07">
        <w:rPr>
          <w:rFonts w:ascii="Times New Roman" w:eastAsia="Times New Roman" w:hAnsi="Times New Roman" w:cs="Times New Roman"/>
          <w:sz w:val="28"/>
          <w:szCs w:val="28"/>
        </w:rPr>
        <w:t xml:space="preserve"> відповідно)</w:t>
      </w:r>
      <w:r w:rsidR="005B0694" w:rsidRPr="00311B07">
        <w:rPr>
          <w:rFonts w:ascii="Times New Roman" w:eastAsia="Times New Roman" w:hAnsi="Times New Roman" w:cs="Times New Roman"/>
          <w:sz w:val="28"/>
          <w:szCs w:val="28"/>
        </w:rPr>
        <w:t>.</w:t>
      </w:r>
      <w:r w:rsidR="001213A4" w:rsidRPr="00311B07">
        <w:rPr>
          <w:rFonts w:ascii="Times New Roman" w:eastAsia="Times New Roman" w:hAnsi="Times New Roman" w:cs="Times New Roman"/>
          <w:sz w:val="28"/>
          <w:szCs w:val="28"/>
        </w:rPr>
        <w:t xml:space="preserve"> </w:t>
      </w:r>
    </w:p>
    <w:p w14:paraId="05A0F9F6" w14:textId="71A8CAC6" w:rsidR="005B0694" w:rsidRDefault="005B0694" w:rsidP="000545FD">
      <w:pPr>
        <w:spacing w:after="8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Збільшення частки </w:t>
      </w:r>
      <w:r w:rsidR="00B05DE8" w:rsidRPr="00311B07">
        <w:rPr>
          <w:rFonts w:ascii="Times New Roman" w:eastAsia="Times New Roman" w:hAnsi="Times New Roman" w:cs="Times New Roman"/>
          <w:sz w:val="28"/>
          <w:szCs w:val="28"/>
        </w:rPr>
        <w:t>коротко</w:t>
      </w:r>
      <w:r w:rsidRPr="00311B07">
        <w:rPr>
          <w:rFonts w:ascii="Times New Roman" w:eastAsia="Times New Roman" w:hAnsi="Times New Roman" w:cs="Times New Roman"/>
          <w:sz w:val="28"/>
          <w:szCs w:val="28"/>
        </w:rPr>
        <w:t xml:space="preserve">строкових інструментів за рахунок </w:t>
      </w:r>
      <w:r w:rsidR="00B05DE8" w:rsidRPr="00311B07">
        <w:rPr>
          <w:rFonts w:ascii="Times New Roman" w:eastAsia="Times New Roman" w:hAnsi="Times New Roman" w:cs="Times New Roman"/>
          <w:sz w:val="28"/>
          <w:szCs w:val="28"/>
        </w:rPr>
        <w:t>довг</w:t>
      </w:r>
      <w:r w:rsidRPr="00311B07">
        <w:rPr>
          <w:rFonts w:ascii="Times New Roman" w:eastAsia="Times New Roman" w:hAnsi="Times New Roman" w:cs="Times New Roman"/>
          <w:sz w:val="28"/>
          <w:szCs w:val="28"/>
        </w:rPr>
        <w:t xml:space="preserve">острокових відбулося внаслідок </w:t>
      </w:r>
      <w:r w:rsidR="002A51B9" w:rsidRPr="00311B07">
        <w:rPr>
          <w:rFonts w:ascii="Times New Roman" w:eastAsia="Times New Roman" w:hAnsi="Times New Roman" w:cs="Times New Roman"/>
          <w:sz w:val="28"/>
          <w:szCs w:val="28"/>
        </w:rPr>
        <w:t>проведення</w:t>
      </w:r>
      <w:r w:rsidR="00B05DE8" w:rsidRPr="00311B07">
        <w:rPr>
          <w:rFonts w:ascii="Times New Roman" w:hAnsi="Times New Roman"/>
          <w:sz w:val="28"/>
          <w:szCs w:val="28"/>
        </w:rPr>
        <w:t xml:space="preserve"> Національн</w:t>
      </w:r>
      <w:r w:rsidR="00FC75FC" w:rsidRPr="00311B07">
        <w:rPr>
          <w:rFonts w:ascii="Times New Roman" w:hAnsi="Times New Roman"/>
          <w:sz w:val="28"/>
          <w:szCs w:val="28"/>
        </w:rPr>
        <w:t>им</w:t>
      </w:r>
      <w:r w:rsidR="00B05DE8" w:rsidRPr="00311B07">
        <w:rPr>
          <w:rFonts w:ascii="Times New Roman" w:hAnsi="Times New Roman"/>
          <w:sz w:val="28"/>
          <w:szCs w:val="28"/>
        </w:rPr>
        <w:t xml:space="preserve"> банк</w:t>
      </w:r>
      <w:r w:rsidR="00FC75FC" w:rsidRPr="00311B07">
        <w:rPr>
          <w:rFonts w:ascii="Times New Roman" w:hAnsi="Times New Roman"/>
          <w:sz w:val="28"/>
          <w:szCs w:val="28"/>
        </w:rPr>
        <w:t>ом</w:t>
      </w:r>
      <w:r w:rsidR="00B05DE8" w:rsidRPr="00311B07">
        <w:rPr>
          <w:rFonts w:ascii="Times New Roman" w:hAnsi="Times New Roman"/>
          <w:sz w:val="28"/>
          <w:szCs w:val="28"/>
        </w:rPr>
        <w:t xml:space="preserve"> України </w:t>
      </w:r>
      <w:r w:rsidR="002A51B9" w:rsidRPr="00311B07">
        <w:rPr>
          <w:rFonts w:ascii="Times New Roman" w:hAnsi="Times New Roman"/>
          <w:sz w:val="28"/>
          <w:szCs w:val="28"/>
        </w:rPr>
        <w:t xml:space="preserve">жорсткої монетарної політики, в межах якої протягом 2018 року було підвищено </w:t>
      </w:r>
      <w:r w:rsidR="00B05DE8" w:rsidRPr="00311B07">
        <w:rPr>
          <w:rFonts w:ascii="Times New Roman" w:hAnsi="Times New Roman"/>
          <w:sz w:val="28"/>
          <w:szCs w:val="28"/>
        </w:rPr>
        <w:t>обліков</w:t>
      </w:r>
      <w:r w:rsidR="002A51B9" w:rsidRPr="00311B07">
        <w:rPr>
          <w:rFonts w:ascii="Times New Roman" w:hAnsi="Times New Roman"/>
          <w:sz w:val="28"/>
          <w:szCs w:val="28"/>
        </w:rPr>
        <w:t>у</w:t>
      </w:r>
      <w:r w:rsidR="00B05DE8" w:rsidRPr="00311B07">
        <w:rPr>
          <w:rFonts w:ascii="Times New Roman" w:hAnsi="Times New Roman"/>
          <w:sz w:val="28"/>
          <w:szCs w:val="28"/>
        </w:rPr>
        <w:t xml:space="preserve"> ставк</w:t>
      </w:r>
      <w:r w:rsidR="002A51B9" w:rsidRPr="00311B07">
        <w:rPr>
          <w:rFonts w:ascii="Times New Roman" w:hAnsi="Times New Roman"/>
          <w:sz w:val="28"/>
          <w:szCs w:val="28"/>
        </w:rPr>
        <w:t>у</w:t>
      </w:r>
      <w:r w:rsidR="00B05DE8" w:rsidRPr="00311B07">
        <w:rPr>
          <w:rFonts w:ascii="Times New Roman" w:hAnsi="Times New Roman"/>
          <w:sz w:val="28"/>
          <w:szCs w:val="28"/>
        </w:rPr>
        <w:t xml:space="preserve"> </w:t>
      </w:r>
      <w:r w:rsidR="001455AD" w:rsidRPr="00311B07">
        <w:rPr>
          <w:rFonts w:ascii="Times New Roman" w:hAnsi="Times New Roman"/>
          <w:sz w:val="28"/>
          <w:szCs w:val="28"/>
        </w:rPr>
        <w:t>з 14,5% до 18% річних</w:t>
      </w:r>
      <w:r w:rsidR="002A51B9" w:rsidRPr="00311B07">
        <w:rPr>
          <w:rFonts w:ascii="Times New Roman" w:hAnsi="Times New Roman"/>
          <w:sz w:val="28"/>
          <w:szCs w:val="28"/>
        </w:rPr>
        <w:t xml:space="preserve">. В результаті </w:t>
      </w:r>
      <w:r w:rsidR="00B05DE8" w:rsidRPr="00311B07">
        <w:rPr>
          <w:rFonts w:ascii="Times New Roman" w:hAnsi="Times New Roman"/>
          <w:sz w:val="28"/>
          <w:szCs w:val="28"/>
        </w:rPr>
        <w:t xml:space="preserve">вартість державних запозичень на внутрішньому ринку </w:t>
      </w:r>
      <w:r w:rsidR="002A51B9" w:rsidRPr="00311B07">
        <w:rPr>
          <w:rFonts w:ascii="Times New Roman" w:hAnsi="Times New Roman"/>
          <w:sz w:val="28"/>
          <w:szCs w:val="28"/>
        </w:rPr>
        <w:t xml:space="preserve">суттєво </w:t>
      </w:r>
      <w:r w:rsidR="00B05DE8" w:rsidRPr="00311B07">
        <w:rPr>
          <w:rFonts w:ascii="Times New Roman" w:hAnsi="Times New Roman"/>
          <w:sz w:val="28"/>
          <w:szCs w:val="28"/>
        </w:rPr>
        <w:t xml:space="preserve">збільшилась, а інвесторами з кінця 2017 року надавалася перевага </w:t>
      </w:r>
      <w:r w:rsidR="001455AD" w:rsidRPr="00311B07">
        <w:rPr>
          <w:rFonts w:ascii="Times New Roman" w:hAnsi="Times New Roman"/>
          <w:sz w:val="28"/>
          <w:szCs w:val="28"/>
        </w:rPr>
        <w:t>короткостроковим</w:t>
      </w:r>
      <w:r w:rsidR="00B05DE8" w:rsidRPr="00311B07">
        <w:rPr>
          <w:rFonts w:ascii="Times New Roman" w:hAnsi="Times New Roman"/>
          <w:sz w:val="28"/>
          <w:szCs w:val="28"/>
        </w:rPr>
        <w:t xml:space="preserve"> інструментам з погашенням у 2018</w:t>
      </w:r>
      <w:r w:rsidR="005C085B" w:rsidRPr="00311B07">
        <w:rPr>
          <w:rFonts w:ascii="Times New Roman" w:hAnsi="Times New Roman"/>
          <w:sz w:val="28"/>
          <w:szCs w:val="28"/>
        </w:rPr>
        <w:t xml:space="preserve"> та 2019</w:t>
      </w:r>
      <w:r w:rsidR="00B05DE8" w:rsidRPr="00311B07">
        <w:rPr>
          <w:rFonts w:ascii="Times New Roman" w:hAnsi="Times New Roman"/>
          <w:sz w:val="28"/>
          <w:szCs w:val="28"/>
        </w:rPr>
        <w:t xml:space="preserve"> </w:t>
      </w:r>
      <w:r w:rsidR="005C085B" w:rsidRPr="00311B07">
        <w:rPr>
          <w:rFonts w:ascii="Times New Roman" w:hAnsi="Times New Roman"/>
          <w:sz w:val="28"/>
          <w:szCs w:val="28"/>
        </w:rPr>
        <w:t>роках</w:t>
      </w:r>
      <w:r w:rsidRPr="00311B07">
        <w:rPr>
          <w:rFonts w:ascii="Times New Roman" w:eastAsia="Times New Roman" w:hAnsi="Times New Roman" w:cs="Times New Roman"/>
          <w:sz w:val="28"/>
          <w:szCs w:val="28"/>
        </w:rPr>
        <w:t xml:space="preserve">. </w:t>
      </w:r>
    </w:p>
    <w:p w14:paraId="0BA2095E" w14:textId="77777777" w:rsidR="00410686" w:rsidRPr="00311B07" w:rsidRDefault="00410686" w:rsidP="00EC7FCB">
      <w:pPr>
        <w:pStyle w:val="1"/>
        <w:numPr>
          <w:ilvl w:val="0"/>
          <w:numId w:val="15"/>
        </w:numPr>
        <w:ind w:left="714" w:hanging="357"/>
        <w:rPr>
          <w:b w:val="0"/>
          <w:color w:val="365F91" w:themeColor="accent1" w:themeShade="BF"/>
        </w:rPr>
      </w:pPr>
      <w:r w:rsidRPr="00311B07">
        <w:rPr>
          <w:color w:val="365F91" w:themeColor="accent1" w:themeShade="BF"/>
        </w:rPr>
        <w:t>Ситуація на світових ринках капіталу</w:t>
      </w:r>
    </w:p>
    <w:p w14:paraId="624E1B0F" w14:textId="77777777" w:rsidR="00410686" w:rsidRPr="00311B07" w:rsidRDefault="00410686" w:rsidP="00410686">
      <w:pPr>
        <w:spacing w:after="80" w:line="240" w:lineRule="auto"/>
        <w:ind w:firstLine="709"/>
        <w:jc w:val="both"/>
        <w:rPr>
          <w:rFonts w:ascii="Times New Roman" w:hAnsi="Times New Roman"/>
          <w:sz w:val="28"/>
          <w:szCs w:val="28"/>
        </w:rPr>
      </w:pPr>
      <w:r w:rsidRPr="00311B07">
        <w:rPr>
          <w:rFonts w:ascii="Times New Roman" w:hAnsi="Times New Roman"/>
          <w:sz w:val="28"/>
          <w:szCs w:val="28"/>
        </w:rPr>
        <w:t>Стрімке зростання цін на нафту в попередні періоди та знецінення світових національних валют відносно долара США призвели до прискорення інфляційних процесів у світі та більш жорсткої монетарної політики центральних банків низки країн. Інтерес інвесторів до ризикових активів суттєво зменшився, а світові фондові індекси знизилися, найсуттєвіше – на американському ринку. У результаті втечі капіталу в безпечні активи премія за ризик для країн, ринки яких розвиваються, значно зросла. Натомість на початку 2019 року позитивні новини про перебіг торгових переговорів між США та Китаєм підтримали світові ціни на товари (зокрема нафту), фондові індекси та активи країн, ринки яких розвиваються.</w:t>
      </w:r>
    </w:p>
    <w:p w14:paraId="69710C54" w14:textId="7B8B31D0" w:rsidR="00410686" w:rsidRPr="00311B07" w:rsidRDefault="00410686" w:rsidP="00410686">
      <w:pPr>
        <w:spacing w:after="80" w:line="240" w:lineRule="auto"/>
        <w:ind w:firstLine="709"/>
        <w:jc w:val="both"/>
        <w:rPr>
          <w:rFonts w:ascii="Times New Roman" w:hAnsi="Times New Roman"/>
          <w:sz w:val="28"/>
          <w:szCs w:val="28"/>
        </w:rPr>
      </w:pPr>
      <w:r w:rsidRPr="00311B07">
        <w:rPr>
          <w:rFonts w:ascii="Times New Roman" w:hAnsi="Times New Roman"/>
          <w:sz w:val="28"/>
          <w:szCs w:val="28"/>
        </w:rPr>
        <w:t>Зростання світової економіки сповільнилось під впливом поступового вичерпання позитивного імпульсу від м’яких фінансових умов та низьких процентних ставок у попередні періоди. Крім того, й надалі збільшується нерівномірність розвитку як між розвиненими країнами, зокрема між США та Єврозоною, так і країнами, ринки яких розвиваються. Зокрема в ІІІ кварталі 2018</w:t>
      </w:r>
      <w:r w:rsidR="00F90AA0">
        <w:rPr>
          <w:rFonts w:ascii="Times New Roman" w:hAnsi="Times New Roman"/>
          <w:sz w:val="28"/>
          <w:szCs w:val="28"/>
        </w:rPr>
        <w:t> </w:t>
      </w:r>
      <w:r w:rsidRPr="00311B07">
        <w:rPr>
          <w:rFonts w:ascii="Times New Roman" w:hAnsi="Times New Roman"/>
          <w:sz w:val="28"/>
          <w:szCs w:val="28"/>
        </w:rPr>
        <w:t>року суттєво сповільнилося зростання та збільшилась невизначеність у Туреччині та Аргентині. Наростання геополітичної напруженості та протекціоністських заходів у ІІІ та першій половині ІV кварталів призвели до сповільнення темпів зростання світової торгівлі та посилення невизначеності на світових товарних і фінансових ринках.</w:t>
      </w:r>
    </w:p>
    <w:p w14:paraId="30F2D25A" w14:textId="77777777" w:rsidR="00410686" w:rsidRPr="00311B07" w:rsidRDefault="00410686" w:rsidP="00410686">
      <w:pPr>
        <w:spacing w:after="80" w:line="240" w:lineRule="auto"/>
        <w:ind w:firstLine="709"/>
        <w:jc w:val="both"/>
        <w:rPr>
          <w:rFonts w:ascii="Times New Roman" w:hAnsi="Times New Roman"/>
          <w:sz w:val="28"/>
          <w:szCs w:val="28"/>
        </w:rPr>
      </w:pPr>
      <w:r w:rsidRPr="00311B07">
        <w:rPr>
          <w:rFonts w:ascii="Times New Roman" w:hAnsi="Times New Roman"/>
          <w:sz w:val="28"/>
          <w:szCs w:val="28"/>
        </w:rPr>
        <w:t xml:space="preserve">У IV кварталі 2018 року ще більше посилилась нестабільність на світових фінансових ринках, що негативно впливало на інвестування у ризикові активи. Вагомим фактором загальної динаміки світових індексів було погіршення очікувань щодо перспектив розвитку світової економіки. Останні були спричинені відносно нижчими за очікування даними щодо темпів зростання промислового виробництва у Китаї, США та Німеччині, уповільненням темпів </w:t>
      </w:r>
      <w:r w:rsidRPr="00311B07">
        <w:rPr>
          <w:rFonts w:ascii="Times New Roman" w:hAnsi="Times New Roman"/>
          <w:sz w:val="28"/>
          <w:szCs w:val="28"/>
        </w:rPr>
        <w:lastRenderedPageBreak/>
        <w:t>зростання ВВП Єврозони, подальшим розширенням торговельного дефіциту США та уповільненням зростання експорту та імпорту Китаю.</w:t>
      </w:r>
    </w:p>
    <w:p w14:paraId="6E7C8662" w14:textId="3DC67085" w:rsidR="00410686" w:rsidRDefault="00410686" w:rsidP="00410686">
      <w:pPr>
        <w:spacing w:after="80" w:line="240" w:lineRule="auto"/>
        <w:ind w:firstLine="709"/>
        <w:jc w:val="both"/>
        <w:rPr>
          <w:rFonts w:ascii="Times New Roman" w:hAnsi="Times New Roman"/>
          <w:sz w:val="28"/>
        </w:rPr>
      </w:pPr>
      <w:r w:rsidRPr="00311B07">
        <w:rPr>
          <w:rFonts w:ascii="Times New Roman" w:hAnsi="Times New Roman"/>
          <w:sz w:val="28"/>
          <w:szCs w:val="28"/>
        </w:rPr>
        <w:t xml:space="preserve">Однак, незважаючи на ці надскладні умови для України, наприкінці жовтня 2018 року було здійснено </w:t>
      </w:r>
      <w:r w:rsidRPr="00311B07">
        <w:rPr>
          <w:rFonts w:ascii="Times New Roman" w:hAnsi="Times New Roman"/>
          <w:sz w:val="28"/>
        </w:rPr>
        <w:t xml:space="preserve">публічне розміщення довгострокових ОЗДП загальною номінальною вартістю 2 млрд </w:t>
      </w:r>
      <w:proofErr w:type="spellStart"/>
      <w:r w:rsidRPr="00311B07">
        <w:rPr>
          <w:rFonts w:ascii="Times New Roman" w:hAnsi="Times New Roman"/>
          <w:sz w:val="28"/>
        </w:rPr>
        <w:t>дол</w:t>
      </w:r>
      <w:proofErr w:type="spellEnd"/>
      <w:r w:rsidRPr="00311B07">
        <w:rPr>
          <w:rFonts w:ascii="Times New Roman" w:hAnsi="Times New Roman"/>
          <w:sz w:val="28"/>
        </w:rPr>
        <w:t xml:space="preserve">. США. </w:t>
      </w:r>
    </w:p>
    <w:p w14:paraId="356C61AD" w14:textId="77777777" w:rsidR="00410686" w:rsidRPr="00311B07" w:rsidRDefault="00410686" w:rsidP="00410686">
      <w:pPr>
        <w:pStyle w:val="1"/>
        <w:numPr>
          <w:ilvl w:val="0"/>
          <w:numId w:val="15"/>
        </w:numPr>
        <w:rPr>
          <w:color w:val="365F91" w:themeColor="accent1" w:themeShade="BF"/>
        </w:rPr>
      </w:pPr>
      <w:r w:rsidRPr="00311B07">
        <w:rPr>
          <w:color w:val="365F91" w:themeColor="accent1" w:themeShade="BF"/>
        </w:rPr>
        <w:t>Макроекономічна ситуація та основні тенденції на внутрішньому ринку державних цінних паперів</w:t>
      </w:r>
    </w:p>
    <w:p w14:paraId="19EBEF62"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Незважаючи на сповільнення світової економіки, у 2018 році зовнішні умови для української економіки були пом’якшені внаслідок прискорення економічного розвитку країн – основних торгових партнерів України. У цілому, незважаючи на складні умови для економіки України, насамперед пов’язані з військовим конфліктом на сході країни</w:t>
      </w:r>
      <w:r w:rsidRPr="00311B07">
        <w:rPr>
          <w:rFonts w:ascii="Times New Roman" w:hAnsi="Times New Roman"/>
          <w:sz w:val="28"/>
        </w:rPr>
        <w:t>, тимчасової окупацією АР Крим</w:t>
      </w:r>
      <w:r w:rsidRPr="00311B07">
        <w:rPr>
          <w:rFonts w:ascii="Times New Roman" w:hAnsi="Times New Roman" w:cs="Times New Roman"/>
          <w:sz w:val="28"/>
          <w:szCs w:val="28"/>
        </w:rPr>
        <w:t xml:space="preserve"> та відсутністю прогресу у співпраці з МВФ протягом січня-вересня, в 2018 році тривало зростання вітчизняної економіки, що позитивно впливало на виконання дохідної частини бюджету.</w:t>
      </w:r>
    </w:p>
    <w:p w14:paraId="0B4B4BA9" w14:textId="57D06338"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Внутрішній споживчий та інвестиційний попит залишались рушійною силою економічного зростання у 2018 році. За даними Державної служби статистики України, реальний ВВП у 2018 році зріс на 3,3%. За підсумками 2018</w:t>
      </w:r>
      <w:r w:rsidR="00EC7FCB">
        <w:rPr>
          <w:rFonts w:ascii="Times New Roman" w:hAnsi="Times New Roman" w:cs="Times New Roman"/>
          <w:sz w:val="28"/>
          <w:szCs w:val="28"/>
        </w:rPr>
        <w:t> </w:t>
      </w:r>
      <w:r w:rsidRPr="00311B07">
        <w:rPr>
          <w:rFonts w:ascii="Times New Roman" w:hAnsi="Times New Roman" w:cs="Times New Roman"/>
          <w:sz w:val="28"/>
          <w:szCs w:val="28"/>
        </w:rPr>
        <w:t xml:space="preserve">року міжнародні резерви України зросли на 10,6% і на 1 січня 2019 року сягнули 20,8 млрд </w:t>
      </w:r>
      <w:proofErr w:type="spellStart"/>
      <w:r w:rsidRPr="00311B07">
        <w:rPr>
          <w:rFonts w:ascii="Times New Roman" w:hAnsi="Times New Roman" w:cs="Times New Roman"/>
          <w:sz w:val="28"/>
          <w:szCs w:val="28"/>
        </w:rPr>
        <w:t>дол</w:t>
      </w:r>
      <w:proofErr w:type="spellEnd"/>
      <w:r w:rsidRPr="00311B07">
        <w:rPr>
          <w:rFonts w:ascii="Times New Roman" w:hAnsi="Times New Roman" w:cs="Times New Roman"/>
          <w:sz w:val="28"/>
          <w:szCs w:val="28"/>
        </w:rPr>
        <w:t>. США – найвищого рівня за останні п’ять років, що покриває 3,5</w:t>
      </w:r>
      <w:r w:rsidR="00311B07">
        <w:rPr>
          <w:rFonts w:ascii="Times New Roman" w:hAnsi="Times New Roman" w:cs="Times New Roman"/>
          <w:sz w:val="28"/>
          <w:szCs w:val="28"/>
        </w:rPr>
        <w:t> </w:t>
      </w:r>
      <w:r w:rsidRPr="00311B07">
        <w:rPr>
          <w:rFonts w:ascii="Times New Roman" w:hAnsi="Times New Roman" w:cs="Times New Roman"/>
          <w:sz w:val="28"/>
          <w:szCs w:val="28"/>
        </w:rPr>
        <w:t>місяця майбутнього імпорту і є достатнім для виконання зобов’язань України та поточних операцій Уряду і Національного банку.</w:t>
      </w:r>
    </w:p>
    <w:p w14:paraId="62A249B1"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Позитивно на розвиток економіки у 2018 році вплинуло також збереження стабільності на валютному ринку. За даними НБУ, протягом 2018 року обмінний курс гривні до долара США залишався переважно стабільним – 27,2 гривень за долар США у середньому за рік.</w:t>
      </w:r>
    </w:p>
    <w:p w14:paraId="06F1E717" w14:textId="44315DEB"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У 2018 році споживча інфляція сповільнилася до 9,8% (з 13,7% у 2017 році) – найнижчого рівня за останні п’ять років. Зміна тренду зростання інфляції, який спостерігався в 2017 році, є результатом насамперед жорсткої монетарної політики Національного банку. З жовтня 2017 року Національний банк шість разів підвищував облікову ставку: загалом на 5,5 в. п. – до 18,0% річних. Це вплинуло на підвищення ринкових процентних ставок у гривні і, відповідно, посилювало стимули для заощаджень.</w:t>
      </w:r>
    </w:p>
    <w:p w14:paraId="093B2464"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Внаслідок підвищення облікової ставки НБУ та збільшення активності Мінфіну на внутрішньому ринку наприкінці року зросла дохідність первинних розміщень ОВДП у національній валюті за всіма строками погашення. На фоні сповільнення інфляції зросла й реальна процентна ставка за запозиченнями на внутрішньому ринку, при чому вона була однією з найвищих серед країн, ринки яких розвиваються.</w:t>
      </w:r>
    </w:p>
    <w:p w14:paraId="3CEFCB4C" w14:textId="77777777" w:rsidR="00217CDB" w:rsidRPr="00311B07" w:rsidRDefault="00217CDB" w:rsidP="00217CDB">
      <w:pPr>
        <w:spacing w:after="80" w:line="240" w:lineRule="auto"/>
        <w:ind w:firstLine="709"/>
        <w:jc w:val="both"/>
        <w:rPr>
          <w:rFonts w:ascii="Times New Roman" w:eastAsiaTheme="minorHAnsi" w:hAnsi="Times New Roman" w:cs="Times New Roman"/>
          <w:sz w:val="28"/>
          <w:szCs w:val="28"/>
        </w:rPr>
      </w:pPr>
      <w:r w:rsidRPr="00311B07">
        <w:rPr>
          <w:rFonts w:ascii="Times New Roman" w:hAnsi="Times New Roman" w:cs="Times New Roman"/>
          <w:sz w:val="28"/>
          <w:szCs w:val="28"/>
        </w:rPr>
        <w:t>На первинному ринку у 2018 році проведено 281 аукціон з розміщення державних цінних паперів (результативні – 241 аукціонів, або 85</w:t>
      </w:r>
      <w:r w:rsidRPr="00311B07">
        <w:rPr>
          <w:rFonts w:ascii="Times New Roman" w:hAnsi="Times New Roman"/>
          <w:sz w:val="28"/>
        </w:rPr>
        <w:t>,8%)</w:t>
      </w:r>
      <w:r w:rsidRPr="00311B07">
        <w:rPr>
          <w:rFonts w:ascii="Times New Roman" w:hAnsi="Times New Roman" w:cs="Times New Roman"/>
          <w:sz w:val="28"/>
          <w:szCs w:val="28"/>
        </w:rPr>
        <w:t xml:space="preserve">, на яких Мінфіном з метою задоволення потреб різноманітних груп інвесторів та в </w:t>
      </w:r>
      <w:r w:rsidRPr="00311B07">
        <w:rPr>
          <w:rFonts w:ascii="Times New Roman" w:hAnsi="Times New Roman" w:cs="Times New Roman"/>
          <w:sz w:val="28"/>
          <w:szCs w:val="28"/>
        </w:rPr>
        <w:lastRenderedPageBreak/>
        <w:t>межах управління ліквідністю пропонувався широкий спектр облігацій, номінованих у національній та іноземних валютах, з термінами обігу від 1 місяця до 5 років. При цьому найбільшим попитом користувалися короткострокові ОВДП зі строком обігу від 1 до 12 місяців.</w:t>
      </w:r>
    </w:p>
    <w:p w14:paraId="5656FA93" w14:textId="77777777" w:rsidR="00217CDB" w:rsidRPr="00311B07" w:rsidRDefault="00217CDB" w:rsidP="00217CDB">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 xml:space="preserve">Загалом у 2018 році середньозважена відсоткова ставка за розміщеними ОВДП становила </w:t>
      </w:r>
      <w:r w:rsidRPr="00311B07">
        <w:rPr>
          <w:rFonts w:ascii="Times New Roman" w:hAnsi="Times New Roman" w:cs="Times New Roman"/>
          <w:sz w:val="28"/>
          <w:szCs w:val="28"/>
          <w:lang w:val="ru-RU"/>
        </w:rPr>
        <w:t>10</w:t>
      </w:r>
      <w:r w:rsidRPr="00311B07">
        <w:rPr>
          <w:rFonts w:ascii="Times New Roman" w:hAnsi="Times New Roman" w:cs="Times New Roman"/>
          <w:sz w:val="28"/>
          <w:szCs w:val="28"/>
        </w:rPr>
        <w:t>,</w:t>
      </w:r>
      <w:r w:rsidRPr="00311B07">
        <w:rPr>
          <w:rFonts w:ascii="Times New Roman" w:hAnsi="Times New Roman" w:cs="Times New Roman"/>
          <w:sz w:val="28"/>
          <w:szCs w:val="28"/>
          <w:lang w:val="ru-RU"/>
        </w:rPr>
        <w:t>32</w:t>
      </w:r>
      <w:r w:rsidRPr="00311B07">
        <w:rPr>
          <w:rFonts w:ascii="Times New Roman" w:hAnsi="Times New Roman" w:cs="Times New Roman"/>
          <w:sz w:val="28"/>
          <w:szCs w:val="28"/>
        </w:rPr>
        <w:t>% проти 8,68%  у 2017 році, 9,57% у 2016 році та 12,25% у 2015 році. При цьому середньозважена відсоткова ставка для запозичень у гривні дорівнювала 1</w:t>
      </w:r>
      <w:r w:rsidRPr="00311B07">
        <w:rPr>
          <w:rFonts w:ascii="Times New Roman" w:hAnsi="Times New Roman" w:cs="Times New Roman"/>
          <w:sz w:val="28"/>
          <w:szCs w:val="28"/>
          <w:lang w:val="ru-RU"/>
        </w:rPr>
        <w:t>7</w:t>
      </w:r>
      <w:r w:rsidRPr="00311B07">
        <w:rPr>
          <w:rFonts w:ascii="Times New Roman" w:hAnsi="Times New Roman" w:cs="Times New Roman"/>
          <w:sz w:val="28"/>
          <w:szCs w:val="28"/>
        </w:rPr>
        <w:t>,</w:t>
      </w:r>
      <w:r w:rsidRPr="00311B07">
        <w:rPr>
          <w:rFonts w:ascii="Times New Roman" w:hAnsi="Times New Roman" w:cs="Times New Roman"/>
          <w:sz w:val="28"/>
          <w:szCs w:val="28"/>
          <w:lang w:val="ru-RU"/>
        </w:rPr>
        <w:t>79</w:t>
      </w:r>
      <w:r w:rsidRPr="00311B07">
        <w:rPr>
          <w:rFonts w:ascii="Times New Roman" w:hAnsi="Times New Roman" w:cs="Times New Roman"/>
          <w:sz w:val="28"/>
          <w:szCs w:val="28"/>
        </w:rPr>
        <w:t xml:space="preserve">% річних, у доларах США – </w:t>
      </w:r>
      <w:r w:rsidRPr="00311B07">
        <w:rPr>
          <w:rFonts w:ascii="Times New Roman" w:hAnsi="Times New Roman" w:cs="Times New Roman"/>
          <w:sz w:val="28"/>
          <w:szCs w:val="28"/>
          <w:lang w:val="ru-RU"/>
        </w:rPr>
        <w:t>6</w:t>
      </w:r>
      <w:r w:rsidRPr="00311B07">
        <w:rPr>
          <w:rFonts w:ascii="Times New Roman" w:hAnsi="Times New Roman" w:cs="Times New Roman"/>
          <w:sz w:val="28"/>
          <w:szCs w:val="28"/>
        </w:rPr>
        <w:t xml:space="preserve">,00% річних, в євро – </w:t>
      </w:r>
      <w:r w:rsidRPr="00311B07">
        <w:rPr>
          <w:rFonts w:ascii="Times New Roman" w:hAnsi="Times New Roman" w:cs="Times New Roman"/>
          <w:sz w:val="28"/>
          <w:szCs w:val="28"/>
          <w:lang w:val="ru-RU"/>
        </w:rPr>
        <w:t>4</w:t>
      </w:r>
      <w:r w:rsidRPr="00311B07">
        <w:rPr>
          <w:rFonts w:ascii="Times New Roman" w:hAnsi="Times New Roman" w:cs="Times New Roman"/>
          <w:sz w:val="28"/>
          <w:szCs w:val="28"/>
        </w:rPr>
        <w:t>,</w:t>
      </w:r>
      <w:r w:rsidRPr="00311B07">
        <w:rPr>
          <w:rFonts w:ascii="Times New Roman" w:hAnsi="Times New Roman" w:cs="Times New Roman"/>
          <w:sz w:val="28"/>
          <w:szCs w:val="28"/>
          <w:lang w:val="ru-RU"/>
        </w:rPr>
        <w:t>22</w:t>
      </w:r>
      <w:r w:rsidRPr="00311B07">
        <w:rPr>
          <w:rFonts w:ascii="Times New Roman" w:hAnsi="Times New Roman" w:cs="Times New Roman"/>
          <w:sz w:val="28"/>
          <w:szCs w:val="28"/>
        </w:rPr>
        <w:t xml:space="preserve">% річних. Збільшення вартості державних внутрішніх запозичень, а отже, і зменшення можливостей щодо оптимізації вартості обслуговування державного боргу відбулося внаслідок значного підвищення облікової ставки НБУ у 2018 році (з 14,5% до 18,0%). </w:t>
      </w:r>
    </w:p>
    <w:p w14:paraId="61D7BCAE" w14:textId="77777777" w:rsidR="00217CDB" w:rsidRPr="00311B07" w:rsidRDefault="00217CDB" w:rsidP="00217CDB">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Середній строк до погашення розміщених на аукціонах ОВДП у 2018 році становив 0,</w:t>
      </w:r>
      <w:r w:rsidRPr="00311B07">
        <w:rPr>
          <w:rFonts w:ascii="Times New Roman" w:hAnsi="Times New Roman" w:cs="Times New Roman"/>
          <w:sz w:val="28"/>
          <w:szCs w:val="28"/>
          <w:lang w:val="ru-RU"/>
        </w:rPr>
        <w:t>78</w:t>
      </w:r>
      <w:r w:rsidRPr="00311B07">
        <w:rPr>
          <w:rFonts w:ascii="Times New Roman" w:hAnsi="Times New Roman" w:cs="Times New Roman"/>
          <w:sz w:val="28"/>
          <w:szCs w:val="28"/>
        </w:rPr>
        <w:t> року проти 1,67 року у 2017 році, 2,36 року у 2016 році та 0,43 року  у 2015 році.</w:t>
      </w:r>
    </w:p>
    <w:p w14:paraId="2C6E52E7" w14:textId="77777777" w:rsidR="000E32D9"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 xml:space="preserve">Портфель нерезидентів в ОВДП за 2018 рік збільшився з 5,2 млрд грн до 6,3 млрд грн (з 0,70% до 0,84% від загального обсягу ОВДП, що знаходились в обігу), досягаючи на піку в березні 2018 року 14,7 млрд грн, але цей обсяг все ще залишається невеликим і має значний потенціал до зростання. </w:t>
      </w:r>
    </w:p>
    <w:p w14:paraId="1F6F2CC8"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Фізичні особи демонстрували зацікавленість у державних цінних паперах, які забезпечують вищу дохідність, ніж банківські депозити, і при цьому залишаються ліквідним інструментом. Відсутність оподаткування купонного доходу і доходу від операцій з купівлі-продажу цінних паперів збільшують привабливість ОВДП для населення. Завдяки цьому портфель ОВДП у фізичних осіб зріс протягом 2018</w:t>
      </w:r>
      <w:r w:rsidR="00311B07">
        <w:rPr>
          <w:rFonts w:ascii="Times New Roman" w:hAnsi="Times New Roman" w:cs="Times New Roman"/>
          <w:sz w:val="28"/>
          <w:szCs w:val="28"/>
        </w:rPr>
        <w:t> </w:t>
      </w:r>
      <w:r w:rsidRPr="00311B07">
        <w:rPr>
          <w:rFonts w:ascii="Times New Roman" w:hAnsi="Times New Roman" w:cs="Times New Roman"/>
          <w:sz w:val="28"/>
          <w:szCs w:val="28"/>
        </w:rPr>
        <w:t xml:space="preserve">року в чотири рази (з 1,5 млрд грн до 6,0 млрд гривень). </w:t>
      </w:r>
    </w:p>
    <w:p w14:paraId="0715A55D"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 xml:space="preserve">З метою підтримки постійного діалогу з учасниками ринку запроваджені щотижневі консультації з первинними дилерами щодо попиту на ОВДП. Також, з метою підвищення інвестиційної зацікавленості потенційних інвесторів в ОВДП, у доповнення до квартальних розроблено помісячні графіки розміщень ОВДП з відображенням дати погашення та міжнародного ідентифікаційного номеру цінного паперу. </w:t>
      </w:r>
    </w:p>
    <w:p w14:paraId="647596CE" w14:textId="77777777" w:rsidR="00410686" w:rsidRPr="00311B07" w:rsidRDefault="00410686" w:rsidP="00410686">
      <w:pPr>
        <w:spacing w:after="80" w:line="240" w:lineRule="auto"/>
        <w:ind w:firstLine="709"/>
        <w:jc w:val="both"/>
        <w:rPr>
          <w:rFonts w:ascii="Times New Roman" w:hAnsi="Times New Roman" w:cs="Times New Roman"/>
          <w:sz w:val="28"/>
          <w:szCs w:val="28"/>
        </w:rPr>
      </w:pPr>
      <w:r w:rsidRPr="00311B07">
        <w:rPr>
          <w:rFonts w:ascii="Times New Roman" w:hAnsi="Times New Roman" w:cs="Times New Roman"/>
          <w:sz w:val="28"/>
          <w:szCs w:val="28"/>
        </w:rPr>
        <w:t xml:space="preserve">Міністерством фінансів забезпечено відкриття окремої сторінки в інформаційній системі </w:t>
      </w:r>
      <w:proofErr w:type="spellStart"/>
      <w:r w:rsidRPr="00311B07">
        <w:rPr>
          <w:rFonts w:ascii="Times New Roman" w:hAnsi="Times New Roman" w:cs="Times New Roman"/>
          <w:sz w:val="28"/>
          <w:szCs w:val="28"/>
        </w:rPr>
        <w:t>Bloomberg</w:t>
      </w:r>
      <w:proofErr w:type="spellEnd"/>
      <w:r w:rsidRPr="00311B07">
        <w:rPr>
          <w:rFonts w:ascii="Times New Roman" w:hAnsi="Times New Roman" w:cs="Times New Roman"/>
          <w:sz w:val="28"/>
          <w:szCs w:val="28"/>
        </w:rPr>
        <w:t>, що містить інформацію про випуски облігацій внутрішньої державної позики, анонси аукціонів з розміщення, список первинних дилерів та іншу корисну інформацію.</w:t>
      </w:r>
    </w:p>
    <w:p w14:paraId="16F27CC4" w14:textId="77777777" w:rsidR="00BC7304" w:rsidRPr="00311B07" w:rsidRDefault="00BC7304" w:rsidP="00EC7FCB">
      <w:pPr>
        <w:pStyle w:val="1"/>
        <w:numPr>
          <w:ilvl w:val="0"/>
          <w:numId w:val="15"/>
        </w:numPr>
        <w:ind w:left="714" w:hanging="357"/>
        <w:rPr>
          <w:b w:val="0"/>
          <w:bCs w:val="0"/>
          <w:color w:val="365F91" w:themeColor="accent1" w:themeShade="BF"/>
        </w:rPr>
      </w:pPr>
      <w:r w:rsidRPr="00311B07">
        <w:rPr>
          <w:color w:val="365F91" w:themeColor="accent1" w:themeShade="BF"/>
        </w:rPr>
        <w:t>Оцінка досягнутих показників та ризиків, пов’язаних з управлінням державним боргом</w:t>
      </w:r>
    </w:p>
    <w:p w14:paraId="6FA91FCD" w14:textId="77777777" w:rsidR="00A06CF7" w:rsidRPr="000E32D9" w:rsidRDefault="00A06CF7" w:rsidP="000E32D9">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311B07">
        <w:rPr>
          <w:rFonts w:ascii="Times New Roman" w:hAnsi="Times New Roman" w:cs="Times New Roman"/>
          <w:b/>
          <w:i/>
          <w:sz w:val="28"/>
          <w:szCs w:val="28"/>
        </w:rPr>
        <w:t>Бюджетний ризик</w:t>
      </w:r>
      <w:r w:rsidRPr="00311B07">
        <w:rPr>
          <w:rFonts w:ascii="Times New Roman" w:hAnsi="Times New Roman" w:cs="Times New Roman"/>
          <w:sz w:val="28"/>
          <w:szCs w:val="28"/>
        </w:rPr>
        <w:t xml:space="preserve"> державного боргу у </w:t>
      </w:r>
      <w:r w:rsidR="00CF1F8B" w:rsidRPr="00311B07">
        <w:rPr>
          <w:rFonts w:ascii="Times New Roman" w:hAnsi="Times New Roman" w:cs="Times New Roman"/>
          <w:sz w:val="28"/>
          <w:szCs w:val="28"/>
        </w:rPr>
        <w:t>2018</w:t>
      </w:r>
      <w:r w:rsidRPr="00311B07">
        <w:rPr>
          <w:rFonts w:ascii="Times New Roman" w:hAnsi="Times New Roman" w:cs="Times New Roman"/>
          <w:sz w:val="28"/>
          <w:szCs w:val="28"/>
        </w:rPr>
        <w:t xml:space="preserve"> році реалізувався через</w:t>
      </w:r>
      <w:r w:rsidR="00B82C65" w:rsidRPr="00311B07">
        <w:rPr>
          <w:rFonts w:ascii="Times New Roman" w:hAnsi="Times New Roman" w:cs="Times New Roman"/>
          <w:sz w:val="28"/>
          <w:szCs w:val="28"/>
        </w:rPr>
        <w:t>:</w:t>
      </w:r>
      <w:r w:rsidR="000E32D9">
        <w:rPr>
          <w:rFonts w:ascii="Times New Roman" w:hAnsi="Times New Roman" w:cs="Times New Roman"/>
          <w:sz w:val="28"/>
          <w:szCs w:val="28"/>
        </w:rPr>
        <w:br/>
      </w:r>
      <w:r w:rsidR="000E32D9">
        <w:rPr>
          <w:rFonts w:ascii="Times New Roman" w:eastAsia="Times New Roman" w:hAnsi="Times New Roman" w:cs="Times New Roman"/>
          <w:sz w:val="28"/>
          <w:szCs w:val="28"/>
        </w:rPr>
        <w:t xml:space="preserve">         - </w:t>
      </w:r>
      <w:r w:rsidRPr="000E32D9">
        <w:rPr>
          <w:rFonts w:ascii="Times New Roman" w:eastAsia="Times New Roman" w:hAnsi="Times New Roman" w:cs="Times New Roman"/>
          <w:sz w:val="28"/>
          <w:szCs w:val="28"/>
        </w:rPr>
        <w:t>збільшення річного планового показника дефіциту державного бюджету на</w:t>
      </w:r>
      <w:r w:rsidR="000E32D9">
        <w:rPr>
          <w:rFonts w:ascii="Times New Roman" w:eastAsia="Times New Roman" w:hAnsi="Times New Roman" w:cs="Times New Roman"/>
          <w:sz w:val="28"/>
          <w:szCs w:val="28"/>
        </w:rPr>
        <w:t xml:space="preserve"> </w:t>
      </w:r>
      <w:r w:rsidRPr="000E32D9">
        <w:rPr>
          <w:rFonts w:ascii="Times New Roman" w:eastAsia="Times New Roman" w:hAnsi="Times New Roman" w:cs="Times New Roman"/>
          <w:sz w:val="28"/>
          <w:szCs w:val="28"/>
        </w:rPr>
        <w:t>4,6</w:t>
      </w:r>
      <w:r w:rsidR="00B82C65" w:rsidRPr="000E32D9">
        <w:rPr>
          <w:rFonts w:ascii="Times New Roman" w:eastAsia="Times New Roman" w:hAnsi="Times New Roman" w:cs="Times New Roman"/>
          <w:sz w:val="28"/>
          <w:szCs w:val="28"/>
        </w:rPr>
        <w:t> </w:t>
      </w:r>
      <w:r w:rsidR="007C5214" w:rsidRPr="000E32D9">
        <w:rPr>
          <w:rFonts w:ascii="Times New Roman" w:eastAsia="Times New Roman" w:hAnsi="Times New Roman" w:cs="Times New Roman"/>
          <w:sz w:val="28"/>
          <w:szCs w:val="28"/>
        </w:rPr>
        <w:t>млрд</w:t>
      </w:r>
      <w:r w:rsidRPr="000E32D9">
        <w:rPr>
          <w:rFonts w:ascii="Times New Roman" w:eastAsia="Times New Roman" w:hAnsi="Times New Roman" w:cs="Times New Roman"/>
          <w:sz w:val="28"/>
          <w:szCs w:val="28"/>
        </w:rPr>
        <w:t xml:space="preserve"> </w:t>
      </w:r>
      <w:r w:rsidR="007C5214" w:rsidRPr="000E32D9">
        <w:rPr>
          <w:rFonts w:ascii="Times New Roman" w:eastAsia="Times New Roman" w:hAnsi="Times New Roman" w:cs="Times New Roman"/>
          <w:sz w:val="28"/>
          <w:szCs w:val="28"/>
        </w:rPr>
        <w:t>грн</w:t>
      </w:r>
      <w:r w:rsidRPr="000E32D9">
        <w:rPr>
          <w:rFonts w:ascii="Times New Roman" w:eastAsia="Times New Roman" w:hAnsi="Times New Roman" w:cs="Times New Roman"/>
          <w:sz w:val="28"/>
          <w:szCs w:val="28"/>
        </w:rPr>
        <w:t xml:space="preserve"> (з 77,6 до 82,2 </w:t>
      </w:r>
      <w:r w:rsidR="007C5214" w:rsidRPr="000E32D9">
        <w:rPr>
          <w:rFonts w:ascii="Times New Roman" w:eastAsia="Times New Roman" w:hAnsi="Times New Roman" w:cs="Times New Roman"/>
          <w:sz w:val="28"/>
          <w:szCs w:val="28"/>
        </w:rPr>
        <w:t>млрд</w:t>
      </w:r>
      <w:r w:rsidRPr="000E32D9">
        <w:rPr>
          <w:rFonts w:ascii="Times New Roman" w:eastAsia="Times New Roman" w:hAnsi="Times New Roman" w:cs="Times New Roman"/>
          <w:sz w:val="28"/>
          <w:szCs w:val="28"/>
        </w:rPr>
        <w:t xml:space="preserve"> </w:t>
      </w:r>
      <w:r w:rsidR="007C5214" w:rsidRPr="000E32D9">
        <w:rPr>
          <w:rFonts w:ascii="Times New Roman" w:eastAsia="Times New Roman" w:hAnsi="Times New Roman" w:cs="Times New Roman"/>
          <w:sz w:val="28"/>
          <w:szCs w:val="28"/>
        </w:rPr>
        <w:t>грн</w:t>
      </w:r>
      <w:r w:rsidRPr="000E32D9">
        <w:rPr>
          <w:rFonts w:ascii="Times New Roman" w:eastAsia="Times New Roman" w:hAnsi="Times New Roman" w:cs="Times New Roman"/>
          <w:sz w:val="28"/>
          <w:szCs w:val="28"/>
        </w:rPr>
        <w:t>);</w:t>
      </w:r>
    </w:p>
    <w:p w14:paraId="4635E8F1" w14:textId="77777777" w:rsidR="00A06CF7" w:rsidRPr="00311B07" w:rsidRDefault="000E32D9" w:rsidP="00B82C65">
      <w:pPr>
        <w:pStyle w:val="a3"/>
        <w:shd w:val="clear" w:color="auto" w:fill="FFFFFF"/>
        <w:tabs>
          <w:tab w:val="left" w:pos="0"/>
          <w:tab w:val="left" w:pos="993"/>
          <w:tab w:val="left" w:pos="1134"/>
        </w:tabs>
        <w:spacing w:before="0" w:beforeAutospacing="0" w:after="0" w:afterAutospacing="0"/>
        <w:ind w:right="-1" w:firstLine="709"/>
        <w:jc w:val="both"/>
        <w:rPr>
          <w:sz w:val="28"/>
          <w:szCs w:val="28"/>
        </w:rPr>
      </w:pPr>
      <w:r>
        <w:rPr>
          <w:sz w:val="28"/>
          <w:szCs w:val="28"/>
        </w:rPr>
        <w:lastRenderedPageBreak/>
        <w:t xml:space="preserve">- </w:t>
      </w:r>
      <w:r w:rsidR="00A06CF7" w:rsidRPr="00311B07">
        <w:rPr>
          <w:sz w:val="28"/>
          <w:szCs w:val="28"/>
        </w:rPr>
        <w:t>невиконання плану надходжень від приватизації державного майна та відповідн</w:t>
      </w:r>
      <w:r w:rsidR="0086545F" w:rsidRPr="00311B07">
        <w:rPr>
          <w:sz w:val="28"/>
          <w:szCs w:val="28"/>
        </w:rPr>
        <w:t>е</w:t>
      </w:r>
      <w:r w:rsidR="00A06CF7" w:rsidRPr="00311B07">
        <w:rPr>
          <w:sz w:val="28"/>
          <w:szCs w:val="28"/>
        </w:rPr>
        <w:t xml:space="preserve"> збільшення планового річного показника «Запозичення» на суму </w:t>
      </w:r>
      <w:r w:rsidR="00C84D2A" w:rsidRPr="00311B07">
        <w:rPr>
          <w:sz w:val="28"/>
          <w:szCs w:val="28"/>
        </w:rPr>
        <w:t>18,4</w:t>
      </w:r>
      <w:r w:rsidR="00A06CF7" w:rsidRPr="00311B07">
        <w:rPr>
          <w:sz w:val="28"/>
          <w:szCs w:val="28"/>
        </w:rPr>
        <w:t> </w:t>
      </w:r>
      <w:r w:rsidR="007C5214" w:rsidRPr="00311B07">
        <w:rPr>
          <w:sz w:val="28"/>
          <w:szCs w:val="28"/>
        </w:rPr>
        <w:t>млрд</w:t>
      </w:r>
      <w:r w:rsidR="00A06CF7" w:rsidRPr="00311B07">
        <w:rPr>
          <w:sz w:val="28"/>
          <w:szCs w:val="28"/>
          <w:lang w:val="ru-RU"/>
        </w:rPr>
        <w:t> </w:t>
      </w:r>
      <w:r w:rsidR="007C5214" w:rsidRPr="00311B07">
        <w:rPr>
          <w:sz w:val="28"/>
          <w:szCs w:val="28"/>
        </w:rPr>
        <w:t>грн</w:t>
      </w:r>
      <w:r w:rsidR="00A06CF7" w:rsidRPr="00311B07">
        <w:rPr>
          <w:sz w:val="28"/>
          <w:szCs w:val="28"/>
        </w:rPr>
        <w:t xml:space="preserve"> </w:t>
      </w:r>
      <w:r w:rsidR="0086545F" w:rsidRPr="00311B07">
        <w:rPr>
          <w:sz w:val="28"/>
          <w:szCs w:val="28"/>
        </w:rPr>
        <w:t>згідно з</w:t>
      </w:r>
      <w:r w:rsidR="002C3024">
        <w:rPr>
          <w:sz w:val="28"/>
          <w:szCs w:val="28"/>
        </w:rPr>
        <w:t>і</w:t>
      </w:r>
      <w:r w:rsidR="00A06CF7" w:rsidRPr="00311B07">
        <w:rPr>
          <w:sz w:val="28"/>
          <w:szCs w:val="28"/>
        </w:rPr>
        <w:t xml:space="preserve"> статт</w:t>
      </w:r>
      <w:r w:rsidR="0086545F" w:rsidRPr="00311B07">
        <w:rPr>
          <w:sz w:val="28"/>
          <w:szCs w:val="28"/>
        </w:rPr>
        <w:t>ею</w:t>
      </w:r>
      <w:r w:rsidR="00A06CF7" w:rsidRPr="00311B07">
        <w:rPr>
          <w:sz w:val="28"/>
          <w:szCs w:val="28"/>
        </w:rPr>
        <w:t xml:space="preserve"> 15 Бюджетного кодексу України.</w:t>
      </w:r>
    </w:p>
    <w:p w14:paraId="1D364DEE" w14:textId="3C52E748" w:rsidR="006E53D8" w:rsidRPr="00311B07" w:rsidRDefault="00477730" w:rsidP="00A370E7">
      <w:pPr>
        <w:pStyle w:val="a4"/>
        <w:spacing w:before="0" w:beforeAutospacing="0" w:after="80" w:afterAutospacing="0"/>
        <w:ind w:firstLine="709"/>
        <w:jc w:val="both"/>
        <w:rPr>
          <w:i/>
          <w:sz w:val="28"/>
          <w:szCs w:val="28"/>
          <w:lang w:val="ru-RU"/>
        </w:rPr>
      </w:pPr>
      <w:r w:rsidRPr="00311B07">
        <w:rPr>
          <w:sz w:val="28"/>
          <w:szCs w:val="28"/>
        </w:rPr>
        <w:t>Частка видатків</w:t>
      </w:r>
      <w:r w:rsidR="006E53D8" w:rsidRPr="00311B07">
        <w:rPr>
          <w:sz w:val="28"/>
          <w:szCs w:val="28"/>
        </w:rPr>
        <w:t xml:space="preserve"> з обслуговування державного боргу </w:t>
      </w:r>
      <w:r w:rsidRPr="00311B07">
        <w:rPr>
          <w:sz w:val="28"/>
          <w:szCs w:val="28"/>
        </w:rPr>
        <w:t>у видатках</w:t>
      </w:r>
      <w:r w:rsidR="006E53D8" w:rsidRPr="00311B07">
        <w:rPr>
          <w:sz w:val="28"/>
          <w:szCs w:val="28"/>
        </w:rPr>
        <w:t xml:space="preserve"> загального фонду державного бюджету за </w:t>
      </w:r>
      <w:r w:rsidR="00CF1F8B" w:rsidRPr="00311B07">
        <w:rPr>
          <w:sz w:val="28"/>
          <w:szCs w:val="28"/>
        </w:rPr>
        <w:t>2018</w:t>
      </w:r>
      <w:r w:rsidR="006E53D8" w:rsidRPr="00311B07">
        <w:rPr>
          <w:sz w:val="28"/>
          <w:szCs w:val="28"/>
        </w:rPr>
        <w:t xml:space="preserve"> рік становил</w:t>
      </w:r>
      <w:r w:rsidRPr="00311B07">
        <w:rPr>
          <w:sz w:val="28"/>
          <w:szCs w:val="28"/>
        </w:rPr>
        <w:t>а</w:t>
      </w:r>
      <w:r w:rsidR="006E53D8" w:rsidRPr="00311B07">
        <w:rPr>
          <w:sz w:val="28"/>
          <w:szCs w:val="28"/>
        </w:rPr>
        <w:t xml:space="preserve"> </w:t>
      </w:r>
      <w:r w:rsidR="004D7B10" w:rsidRPr="00311B07">
        <w:rPr>
          <w:sz w:val="28"/>
          <w:szCs w:val="28"/>
        </w:rPr>
        <w:t>1</w:t>
      </w:r>
      <w:r w:rsidR="00461B91" w:rsidRPr="00311B07">
        <w:rPr>
          <w:sz w:val="28"/>
          <w:szCs w:val="28"/>
          <w:lang w:val="ru-RU"/>
        </w:rPr>
        <w:t>2</w:t>
      </w:r>
      <w:r w:rsidR="004D7B10" w:rsidRPr="00311B07">
        <w:rPr>
          <w:sz w:val="28"/>
          <w:szCs w:val="28"/>
        </w:rPr>
        <w:t>,</w:t>
      </w:r>
      <w:r w:rsidR="00461B91" w:rsidRPr="00311B07">
        <w:rPr>
          <w:sz w:val="28"/>
          <w:szCs w:val="28"/>
          <w:lang w:val="ru-RU"/>
        </w:rPr>
        <w:t>6</w:t>
      </w:r>
      <w:r w:rsidR="004D7B10" w:rsidRPr="00311B07">
        <w:rPr>
          <w:sz w:val="28"/>
          <w:szCs w:val="28"/>
        </w:rPr>
        <w:t>%</w:t>
      </w:r>
      <w:r w:rsidR="00AB506E" w:rsidRPr="00311B07">
        <w:rPr>
          <w:sz w:val="28"/>
          <w:szCs w:val="28"/>
        </w:rPr>
        <w:t xml:space="preserve"> </w:t>
      </w:r>
      <w:r w:rsidR="006E53D8" w:rsidRPr="00311B07">
        <w:rPr>
          <w:sz w:val="28"/>
          <w:szCs w:val="28"/>
        </w:rPr>
        <w:t xml:space="preserve">проти передбачених Програмою </w:t>
      </w:r>
      <w:r w:rsidRPr="00311B07">
        <w:rPr>
          <w:sz w:val="28"/>
          <w:szCs w:val="28"/>
        </w:rPr>
        <w:t>14,3</w:t>
      </w:r>
      <w:r w:rsidR="006E53D8" w:rsidRPr="00311B07">
        <w:rPr>
          <w:sz w:val="28"/>
          <w:szCs w:val="28"/>
        </w:rPr>
        <w:t>%</w:t>
      </w:r>
      <w:r w:rsidR="00A66A3A" w:rsidRPr="00311B07">
        <w:rPr>
          <w:sz w:val="28"/>
          <w:szCs w:val="28"/>
        </w:rPr>
        <w:t>.</w:t>
      </w:r>
      <w:r w:rsidR="008F2E69" w:rsidRPr="00311B07">
        <w:rPr>
          <w:sz w:val="28"/>
          <w:szCs w:val="28"/>
        </w:rPr>
        <w:t xml:space="preserve"> </w:t>
      </w:r>
      <w:r w:rsidR="007D180A" w:rsidRPr="00311B07">
        <w:rPr>
          <w:sz w:val="28"/>
          <w:szCs w:val="28"/>
        </w:rPr>
        <w:t>Фактичні в</w:t>
      </w:r>
      <w:r w:rsidR="008F2E69" w:rsidRPr="00311B07">
        <w:rPr>
          <w:sz w:val="28"/>
          <w:szCs w:val="28"/>
        </w:rPr>
        <w:t xml:space="preserve">иплати </w:t>
      </w:r>
      <w:r w:rsidR="00A66A3A" w:rsidRPr="00311B07">
        <w:rPr>
          <w:sz w:val="28"/>
          <w:szCs w:val="28"/>
        </w:rPr>
        <w:t xml:space="preserve">в абсолютному вимірі також </w:t>
      </w:r>
      <w:r w:rsidR="008F2E69" w:rsidRPr="00311B07">
        <w:rPr>
          <w:sz w:val="28"/>
          <w:szCs w:val="28"/>
        </w:rPr>
        <w:t xml:space="preserve">були меншими </w:t>
      </w:r>
      <w:r w:rsidR="00FC75FC" w:rsidRPr="00311B07">
        <w:rPr>
          <w:sz w:val="28"/>
          <w:szCs w:val="28"/>
        </w:rPr>
        <w:t xml:space="preserve">внаслідок </w:t>
      </w:r>
      <w:r w:rsidR="002A51B9" w:rsidRPr="00311B07">
        <w:rPr>
          <w:sz w:val="28"/>
          <w:szCs w:val="28"/>
        </w:rPr>
        <w:t>більш міцного</w:t>
      </w:r>
      <w:r w:rsidR="00F27CE1" w:rsidRPr="00311B07">
        <w:rPr>
          <w:sz w:val="28"/>
          <w:szCs w:val="28"/>
        </w:rPr>
        <w:t>, ніж</w:t>
      </w:r>
      <w:r w:rsidR="00CD25C3" w:rsidRPr="00311B07">
        <w:rPr>
          <w:sz w:val="28"/>
          <w:szCs w:val="28"/>
        </w:rPr>
        <w:t xml:space="preserve"> </w:t>
      </w:r>
      <w:r w:rsidR="002E3247">
        <w:rPr>
          <w:sz w:val="28"/>
          <w:szCs w:val="28"/>
        </w:rPr>
        <w:t>заплан</w:t>
      </w:r>
      <w:r w:rsidR="00CD25C3" w:rsidRPr="00311B07">
        <w:rPr>
          <w:sz w:val="28"/>
          <w:szCs w:val="28"/>
        </w:rPr>
        <w:t>ований</w:t>
      </w:r>
      <w:r w:rsidR="00F27CE1" w:rsidRPr="00311B07">
        <w:rPr>
          <w:sz w:val="28"/>
          <w:szCs w:val="28"/>
        </w:rPr>
        <w:t>,</w:t>
      </w:r>
      <w:r w:rsidR="00CD25C3" w:rsidRPr="00311B07">
        <w:rPr>
          <w:sz w:val="28"/>
          <w:szCs w:val="28"/>
        </w:rPr>
        <w:t xml:space="preserve"> курсу</w:t>
      </w:r>
      <w:r w:rsidR="002A51B9" w:rsidRPr="00311B07">
        <w:rPr>
          <w:sz w:val="28"/>
          <w:szCs w:val="28"/>
        </w:rPr>
        <w:t xml:space="preserve"> гривні до</w:t>
      </w:r>
      <w:r w:rsidR="00CD25C3" w:rsidRPr="00311B07">
        <w:rPr>
          <w:sz w:val="28"/>
          <w:szCs w:val="28"/>
        </w:rPr>
        <w:t xml:space="preserve"> долар</w:t>
      </w:r>
      <w:r w:rsidR="00413E7B" w:rsidRPr="00311B07">
        <w:rPr>
          <w:sz w:val="28"/>
          <w:szCs w:val="28"/>
        </w:rPr>
        <w:t>а</w:t>
      </w:r>
      <w:r w:rsidR="00CD25C3" w:rsidRPr="00311B07">
        <w:rPr>
          <w:sz w:val="28"/>
          <w:szCs w:val="28"/>
        </w:rPr>
        <w:t xml:space="preserve"> США</w:t>
      </w:r>
      <w:r w:rsidR="000206F4" w:rsidRPr="00311B07">
        <w:rPr>
          <w:sz w:val="28"/>
          <w:szCs w:val="28"/>
          <w:lang w:val="ru-RU"/>
        </w:rPr>
        <w:t>.</w:t>
      </w:r>
    </w:p>
    <w:p w14:paraId="475857E9" w14:textId="77777777" w:rsidR="00A06CF7" w:rsidRPr="00311B07" w:rsidRDefault="00A06CF7" w:rsidP="000545FD">
      <w:pPr>
        <w:pStyle w:val="a3"/>
        <w:shd w:val="clear" w:color="auto" w:fill="FFFFFF"/>
        <w:tabs>
          <w:tab w:val="left" w:pos="993"/>
        </w:tabs>
        <w:spacing w:before="0" w:beforeAutospacing="0" w:after="0" w:afterAutospacing="0"/>
        <w:ind w:firstLine="709"/>
        <w:jc w:val="both"/>
        <w:rPr>
          <w:b/>
          <w:i/>
          <w:sz w:val="28"/>
          <w:szCs w:val="28"/>
        </w:rPr>
      </w:pPr>
      <w:r w:rsidRPr="00311B07">
        <w:rPr>
          <w:b/>
          <w:i/>
          <w:sz w:val="28"/>
          <w:szCs w:val="28"/>
        </w:rPr>
        <w:t>Валютний ризик</w:t>
      </w:r>
    </w:p>
    <w:p w14:paraId="2331652E" w14:textId="5FA35E0C" w:rsidR="00A06CF7" w:rsidRPr="00311B07" w:rsidRDefault="00A06CF7" w:rsidP="000545FD">
      <w:pPr>
        <w:pStyle w:val="a3"/>
        <w:shd w:val="clear" w:color="auto" w:fill="FFFFFF"/>
        <w:tabs>
          <w:tab w:val="left" w:pos="993"/>
        </w:tabs>
        <w:spacing w:before="0" w:beforeAutospacing="0" w:after="0" w:afterAutospacing="0"/>
        <w:ind w:firstLine="709"/>
        <w:jc w:val="both"/>
        <w:rPr>
          <w:sz w:val="28"/>
          <w:szCs w:val="28"/>
        </w:rPr>
      </w:pPr>
      <w:r w:rsidRPr="00311B07">
        <w:rPr>
          <w:sz w:val="28"/>
          <w:szCs w:val="28"/>
        </w:rPr>
        <w:t>Темпи деваль</w:t>
      </w:r>
      <w:r w:rsidR="00477730" w:rsidRPr="00311B07">
        <w:rPr>
          <w:sz w:val="28"/>
          <w:szCs w:val="28"/>
        </w:rPr>
        <w:t>вації національної валюти у 2018</w:t>
      </w:r>
      <w:r w:rsidRPr="00311B07">
        <w:rPr>
          <w:sz w:val="28"/>
          <w:szCs w:val="28"/>
        </w:rPr>
        <w:t xml:space="preserve"> році </w:t>
      </w:r>
      <w:r w:rsidR="00275B49" w:rsidRPr="00311B07">
        <w:rPr>
          <w:sz w:val="28"/>
          <w:szCs w:val="28"/>
        </w:rPr>
        <w:t xml:space="preserve">фактично </w:t>
      </w:r>
      <w:r w:rsidRPr="00311B07">
        <w:rPr>
          <w:sz w:val="28"/>
          <w:szCs w:val="28"/>
        </w:rPr>
        <w:t xml:space="preserve">були </w:t>
      </w:r>
      <w:r w:rsidR="00275B49" w:rsidRPr="00311B07">
        <w:rPr>
          <w:sz w:val="28"/>
          <w:szCs w:val="28"/>
        </w:rPr>
        <w:t xml:space="preserve">нижчими за врахований </w:t>
      </w:r>
      <w:r w:rsidR="003F626C" w:rsidRPr="00311B07">
        <w:rPr>
          <w:sz w:val="28"/>
          <w:szCs w:val="28"/>
        </w:rPr>
        <w:t xml:space="preserve">розрахунками до </w:t>
      </w:r>
      <w:r w:rsidRPr="00311B07">
        <w:rPr>
          <w:sz w:val="28"/>
          <w:szCs w:val="28"/>
        </w:rPr>
        <w:t>бюджетом рів</w:t>
      </w:r>
      <w:r w:rsidR="00275B49" w:rsidRPr="00311B07">
        <w:rPr>
          <w:sz w:val="28"/>
          <w:szCs w:val="28"/>
        </w:rPr>
        <w:t>ень</w:t>
      </w:r>
      <w:r w:rsidRPr="00311B07">
        <w:rPr>
          <w:sz w:val="28"/>
          <w:szCs w:val="28"/>
        </w:rPr>
        <w:t xml:space="preserve">. При плановому курсі </w:t>
      </w:r>
      <w:r w:rsidR="0037227E" w:rsidRPr="00311B07">
        <w:rPr>
          <w:sz w:val="28"/>
          <w:szCs w:val="28"/>
        </w:rPr>
        <w:t>30,1</w:t>
      </w:r>
      <w:r w:rsidRPr="00311B07">
        <w:rPr>
          <w:sz w:val="28"/>
          <w:szCs w:val="28"/>
        </w:rPr>
        <w:t xml:space="preserve"> </w:t>
      </w:r>
      <w:r w:rsidR="007C5214" w:rsidRPr="00311B07">
        <w:rPr>
          <w:sz w:val="28"/>
          <w:szCs w:val="28"/>
        </w:rPr>
        <w:t>грн</w:t>
      </w:r>
      <w:r w:rsidRPr="00311B07">
        <w:rPr>
          <w:sz w:val="28"/>
          <w:szCs w:val="28"/>
        </w:rPr>
        <w:t xml:space="preserve"> за</w:t>
      </w:r>
      <w:r w:rsidR="003F626C" w:rsidRPr="00311B07">
        <w:rPr>
          <w:sz w:val="28"/>
          <w:szCs w:val="28"/>
        </w:rPr>
        <w:t xml:space="preserve"> </w:t>
      </w:r>
      <w:r w:rsidRPr="00311B07">
        <w:rPr>
          <w:sz w:val="28"/>
          <w:szCs w:val="28"/>
        </w:rPr>
        <w:t xml:space="preserve">1 долар США </w:t>
      </w:r>
      <w:r w:rsidR="002E3247">
        <w:rPr>
          <w:sz w:val="28"/>
          <w:szCs w:val="28"/>
        </w:rPr>
        <w:t>фактичний ку</w:t>
      </w:r>
      <w:r w:rsidR="004E2958">
        <w:rPr>
          <w:sz w:val="28"/>
          <w:szCs w:val="28"/>
        </w:rPr>
        <w:t xml:space="preserve">рс на кінець 2018 року становив близько </w:t>
      </w:r>
      <w:r w:rsidR="002E3247" w:rsidRPr="00311B07">
        <w:rPr>
          <w:sz w:val="28"/>
          <w:szCs w:val="28"/>
        </w:rPr>
        <w:t>27,</w:t>
      </w:r>
      <w:r w:rsidR="004E2958">
        <w:rPr>
          <w:sz w:val="28"/>
          <w:szCs w:val="28"/>
        </w:rPr>
        <w:t>7</w:t>
      </w:r>
      <w:r w:rsidR="002E3247" w:rsidRPr="00311B07">
        <w:rPr>
          <w:sz w:val="28"/>
          <w:szCs w:val="28"/>
        </w:rPr>
        <w:t xml:space="preserve"> грн за 1 долар США</w:t>
      </w:r>
      <w:r w:rsidR="002E3247" w:rsidRPr="00311B07">
        <w:rPr>
          <w:sz w:val="28"/>
          <w:szCs w:val="28"/>
          <w:lang w:val="ru-RU"/>
        </w:rPr>
        <w:t>,</w:t>
      </w:r>
      <w:r w:rsidR="002E3247">
        <w:rPr>
          <w:sz w:val="28"/>
          <w:szCs w:val="28"/>
          <w:lang w:val="ru-RU"/>
        </w:rPr>
        <w:t xml:space="preserve"> при </w:t>
      </w:r>
      <w:proofErr w:type="spellStart"/>
      <w:r w:rsidR="002E3247">
        <w:rPr>
          <w:sz w:val="28"/>
          <w:szCs w:val="28"/>
          <w:lang w:val="ru-RU"/>
        </w:rPr>
        <w:t>цьому</w:t>
      </w:r>
      <w:proofErr w:type="spellEnd"/>
      <w:r w:rsidR="002E3247" w:rsidRPr="00311B07">
        <w:rPr>
          <w:sz w:val="28"/>
          <w:szCs w:val="28"/>
        </w:rPr>
        <w:t xml:space="preserve"> </w:t>
      </w:r>
      <w:r w:rsidRPr="00311B07">
        <w:rPr>
          <w:sz w:val="28"/>
          <w:szCs w:val="28"/>
        </w:rPr>
        <w:t xml:space="preserve">середній курс за рік становив </w:t>
      </w:r>
      <w:r w:rsidR="0037227E" w:rsidRPr="00311B07">
        <w:rPr>
          <w:sz w:val="28"/>
          <w:szCs w:val="28"/>
        </w:rPr>
        <w:t>27,2</w:t>
      </w:r>
      <w:r w:rsidRPr="00311B07">
        <w:rPr>
          <w:sz w:val="28"/>
          <w:szCs w:val="28"/>
        </w:rPr>
        <w:t xml:space="preserve"> </w:t>
      </w:r>
      <w:r w:rsidR="007C5214" w:rsidRPr="00311B07">
        <w:rPr>
          <w:sz w:val="28"/>
          <w:szCs w:val="28"/>
        </w:rPr>
        <w:t>грн</w:t>
      </w:r>
      <w:r w:rsidRPr="00311B07">
        <w:rPr>
          <w:sz w:val="28"/>
          <w:szCs w:val="28"/>
        </w:rPr>
        <w:t xml:space="preserve"> за 1</w:t>
      </w:r>
      <w:r w:rsidR="008A706F" w:rsidRPr="00311B07">
        <w:rPr>
          <w:sz w:val="28"/>
          <w:szCs w:val="28"/>
        </w:rPr>
        <w:t> </w:t>
      </w:r>
      <w:r w:rsidRPr="00311B07">
        <w:rPr>
          <w:sz w:val="28"/>
          <w:szCs w:val="28"/>
        </w:rPr>
        <w:t xml:space="preserve">долар США. </w:t>
      </w:r>
    </w:p>
    <w:p w14:paraId="39035FE4" w14:textId="77777777" w:rsidR="005756B1" w:rsidRPr="00311B07" w:rsidRDefault="005756B1" w:rsidP="00A370E7">
      <w:pPr>
        <w:pStyle w:val="a3"/>
        <w:shd w:val="clear" w:color="auto" w:fill="FFFFFF"/>
        <w:tabs>
          <w:tab w:val="left" w:pos="993"/>
        </w:tabs>
        <w:spacing w:before="0" w:beforeAutospacing="0" w:after="80" w:afterAutospacing="0"/>
        <w:ind w:firstLine="709"/>
        <w:jc w:val="both"/>
        <w:rPr>
          <w:sz w:val="28"/>
          <w:szCs w:val="28"/>
        </w:rPr>
      </w:pPr>
      <w:r w:rsidRPr="00311B07">
        <w:rPr>
          <w:sz w:val="28"/>
          <w:szCs w:val="28"/>
        </w:rPr>
        <w:t xml:space="preserve">Питома вага державного боргу в </w:t>
      </w:r>
      <w:r w:rsidR="00E97DA4" w:rsidRPr="00311B07">
        <w:rPr>
          <w:sz w:val="28"/>
          <w:szCs w:val="28"/>
        </w:rPr>
        <w:t>національній</w:t>
      </w:r>
      <w:r w:rsidRPr="00311B07">
        <w:rPr>
          <w:sz w:val="28"/>
          <w:szCs w:val="28"/>
        </w:rPr>
        <w:t xml:space="preserve"> валюті </w:t>
      </w:r>
      <w:r w:rsidR="003F626C" w:rsidRPr="00311B07">
        <w:rPr>
          <w:sz w:val="28"/>
          <w:szCs w:val="28"/>
        </w:rPr>
        <w:t>відповідає запланованому рівню (</w:t>
      </w:r>
      <w:r w:rsidR="007C3BC8" w:rsidRPr="00311B07">
        <w:rPr>
          <w:sz w:val="28"/>
          <w:szCs w:val="28"/>
          <w:lang w:val="ru-RU"/>
        </w:rPr>
        <w:t xml:space="preserve">33,4% </w:t>
      </w:r>
      <w:r w:rsidRPr="00311B07">
        <w:rPr>
          <w:sz w:val="28"/>
          <w:szCs w:val="28"/>
        </w:rPr>
        <w:t xml:space="preserve">проти </w:t>
      </w:r>
      <w:r w:rsidR="00865F26" w:rsidRPr="00311B07">
        <w:rPr>
          <w:sz w:val="28"/>
          <w:szCs w:val="28"/>
        </w:rPr>
        <w:t>33,3</w:t>
      </w:r>
      <w:r w:rsidRPr="00311B07">
        <w:rPr>
          <w:sz w:val="28"/>
          <w:szCs w:val="28"/>
        </w:rPr>
        <w:t>%</w:t>
      </w:r>
      <w:r w:rsidR="003F626C" w:rsidRPr="00311B07">
        <w:rPr>
          <w:sz w:val="28"/>
          <w:szCs w:val="28"/>
        </w:rPr>
        <w:t>)</w:t>
      </w:r>
      <w:r w:rsidRPr="00311B07">
        <w:rPr>
          <w:sz w:val="28"/>
          <w:szCs w:val="28"/>
        </w:rPr>
        <w:t xml:space="preserve">, </w:t>
      </w:r>
      <w:r w:rsidR="003F626C" w:rsidRPr="00311B07">
        <w:rPr>
          <w:sz w:val="28"/>
          <w:szCs w:val="28"/>
        </w:rPr>
        <w:t>однак все ще</w:t>
      </w:r>
      <w:r w:rsidR="00E97DA4" w:rsidRPr="00311B07">
        <w:rPr>
          <w:sz w:val="28"/>
          <w:szCs w:val="28"/>
        </w:rPr>
        <w:t xml:space="preserve"> </w:t>
      </w:r>
      <w:r w:rsidR="00157998" w:rsidRPr="00311B07">
        <w:rPr>
          <w:sz w:val="28"/>
          <w:szCs w:val="28"/>
        </w:rPr>
        <w:t>демонструє</w:t>
      </w:r>
      <w:r w:rsidR="00E97DA4" w:rsidRPr="00311B07">
        <w:rPr>
          <w:sz w:val="28"/>
          <w:szCs w:val="28"/>
        </w:rPr>
        <w:t xml:space="preserve"> </w:t>
      </w:r>
      <w:r w:rsidR="004E2AD1" w:rsidRPr="00311B07">
        <w:rPr>
          <w:sz w:val="28"/>
          <w:szCs w:val="28"/>
        </w:rPr>
        <w:t xml:space="preserve">значний </w:t>
      </w:r>
      <w:r w:rsidR="00E97DA4" w:rsidRPr="00311B07">
        <w:rPr>
          <w:sz w:val="28"/>
          <w:szCs w:val="28"/>
        </w:rPr>
        <w:t>валютний ризик</w:t>
      </w:r>
      <w:r w:rsidR="004E2AD1" w:rsidRPr="00311B07">
        <w:rPr>
          <w:sz w:val="28"/>
          <w:szCs w:val="28"/>
        </w:rPr>
        <w:t>, який може створити додатковий тиск на стабільність національної валюти.</w:t>
      </w:r>
    </w:p>
    <w:p w14:paraId="518280EC" w14:textId="77777777" w:rsidR="00A06CF7" w:rsidRPr="00311B07" w:rsidRDefault="00A06CF7" w:rsidP="000545FD">
      <w:pPr>
        <w:pStyle w:val="a3"/>
        <w:shd w:val="clear" w:color="auto" w:fill="FFFFFF"/>
        <w:tabs>
          <w:tab w:val="left" w:pos="993"/>
        </w:tabs>
        <w:spacing w:before="0" w:beforeAutospacing="0" w:after="0" w:afterAutospacing="0"/>
        <w:ind w:firstLine="709"/>
        <w:jc w:val="both"/>
        <w:rPr>
          <w:b/>
          <w:i/>
          <w:sz w:val="28"/>
          <w:szCs w:val="28"/>
        </w:rPr>
      </w:pPr>
      <w:r w:rsidRPr="00311B07">
        <w:rPr>
          <w:b/>
          <w:i/>
          <w:sz w:val="28"/>
          <w:szCs w:val="28"/>
        </w:rPr>
        <w:t xml:space="preserve">Відсотковий ризик та </w:t>
      </w:r>
      <w:r w:rsidRPr="00311B07">
        <w:rPr>
          <w:sz w:val="28"/>
          <w:szCs w:val="28"/>
        </w:rPr>
        <w:t xml:space="preserve"> </w:t>
      </w:r>
      <w:r w:rsidRPr="00311B07">
        <w:rPr>
          <w:b/>
          <w:i/>
          <w:sz w:val="28"/>
          <w:szCs w:val="28"/>
        </w:rPr>
        <w:t>ризик рефінансування</w:t>
      </w:r>
    </w:p>
    <w:p w14:paraId="1698C86F" w14:textId="743BDAED" w:rsidR="00A06CF7" w:rsidRPr="00311B07" w:rsidRDefault="00A06CF7" w:rsidP="000545FD">
      <w:pPr>
        <w:pStyle w:val="a3"/>
        <w:tabs>
          <w:tab w:val="left" w:pos="993"/>
        </w:tabs>
        <w:spacing w:before="0" w:beforeAutospacing="0" w:after="0" w:afterAutospacing="0"/>
        <w:ind w:firstLine="709"/>
        <w:jc w:val="both"/>
        <w:rPr>
          <w:sz w:val="28"/>
          <w:szCs w:val="28"/>
        </w:rPr>
      </w:pPr>
      <w:r w:rsidRPr="00311B07">
        <w:rPr>
          <w:sz w:val="28"/>
          <w:szCs w:val="28"/>
        </w:rPr>
        <w:t xml:space="preserve">Частка державного боргу з фіксованою ставкою </w:t>
      </w:r>
      <w:r w:rsidR="00670A91">
        <w:rPr>
          <w:sz w:val="28"/>
          <w:szCs w:val="28"/>
        </w:rPr>
        <w:t>на кінець</w:t>
      </w:r>
      <w:r w:rsidRPr="00311B07">
        <w:rPr>
          <w:sz w:val="28"/>
          <w:szCs w:val="28"/>
        </w:rPr>
        <w:t xml:space="preserve"> </w:t>
      </w:r>
      <w:r w:rsidR="00670A91">
        <w:rPr>
          <w:sz w:val="28"/>
          <w:szCs w:val="28"/>
        </w:rPr>
        <w:t>2018 року</w:t>
      </w:r>
      <w:r w:rsidR="00670A91" w:rsidRPr="00311B07">
        <w:rPr>
          <w:sz w:val="28"/>
          <w:szCs w:val="28"/>
        </w:rPr>
        <w:t xml:space="preserve"> </w:t>
      </w:r>
      <w:r w:rsidRPr="00311B07">
        <w:rPr>
          <w:sz w:val="28"/>
          <w:szCs w:val="28"/>
        </w:rPr>
        <w:t xml:space="preserve">становила </w:t>
      </w:r>
      <w:r w:rsidR="00670A91" w:rsidRPr="00311B07">
        <w:rPr>
          <w:sz w:val="28"/>
          <w:szCs w:val="28"/>
          <w:lang w:val="ru-RU"/>
        </w:rPr>
        <w:t>74,4%</w:t>
      </w:r>
      <w:r w:rsidR="00670A91">
        <w:rPr>
          <w:sz w:val="28"/>
          <w:szCs w:val="28"/>
          <w:lang w:val="ru-RU"/>
        </w:rPr>
        <w:t xml:space="preserve"> </w:t>
      </w:r>
      <w:r w:rsidR="00670A91">
        <w:rPr>
          <w:sz w:val="28"/>
          <w:szCs w:val="28"/>
        </w:rPr>
        <w:t xml:space="preserve">проти </w:t>
      </w:r>
      <w:r w:rsidRPr="00311B07">
        <w:rPr>
          <w:sz w:val="28"/>
          <w:szCs w:val="28"/>
        </w:rPr>
        <w:t>82%</w:t>
      </w:r>
      <w:r w:rsidR="00670A91">
        <w:rPr>
          <w:sz w:val="28"/>
          <w:szCs w:val="28"/>
        </w:rPr>
        <w:t xml:space="preserve"> на кінець </w:t>
      </w:r>
      <w:r w:rsidR="00670A91" w:rsidRPr="00311B07">
        <w:rPr>
          <w:sz w:val="28"/>
          <w:szCs w:val="28"/>
        </w:rPr>
        <w:t>2014 ро</w:t>
      </w:r>
      <w:r w:rsidR="00670A91">
        <w:rPr>
          <w:sz w:val="28"/>
          <w:szCs w:val="28"/>
        </w:rPr>
        <w:t>ку</w:t>
      </w:r>
      <w:r w:rsidRPr="00311B07">
        <w:rPr>
          <w:sz w:val="28"/>
          <w:szCs w:val="28"/>
        </w:rPr>
        <w:t xml:space="preserve">, </w:t>
      </w:r>
      <w:r w:rsidR="00670A91" w:rsidRPr="00311B07">
        <w:rPr>
          <w:sz w:val="28"/>
          <w:szCs w:val="28"/>
        </w:rPr>
        <w:t>76%</w:t>
      </w:r>
      <w:r w:rsidR="00670A91">
        <w:rPr>
          <w:sz w:val="28"/>
          <w:szCs w:val="28"/>
        </w:rPr>
        <w:t xml:space="preserve"> на кінець</w:t>
      </w:r>
      <w:r w:rsidR="00670A91" w:rsidRPr="00311B07">
        <w:rPr>
          <w:sz w:val="28"/>
          <w:szCs w:val="28"/>
        </w:rPr>
        <w:t xml:space="preserve"> </w:t>
      </w:r>
      <w:r w:rsidRPr="00311B07">
        <w:rPr>
          <w:sz w:val="28"/>
          <w:szCs w:val="28"/>
        </w:rPr>
        <w:t>2015 ро</w:t>
      </w:r>
      <w:r w:rsidR="00670A91">
        <w:rPr>
          <w:sz w:val="28"/>
          <w:szCs w:val="28"/>
        </w:rPr>
        <w:t>ку</w:t>
      </w:r>
      <w:r w:rsidRPr="00311B07">
        <w:rPr>
          <w:sz w:val="28"/>
          <w:szCs w:val="28"/>
        </w:rPr>
        <w:t xml:space="preserve">, </w:t>
      </w:r>
      <w:r w:rsidR="00670A91" w:rsidRPr="00311B07">
        <w:rPr>
          <w:sz w:val="28"/>
          <w:szCs w:val="28"/>
        </w:rPr>
        <w:t>78%</w:t>
      </w:r>
      <w:r w:rsidR="00670A91">
        <w:rPr>
          <w:sz w:val="28"/>
          <w:szCs w:val="28"/>
        </w:rPr>
        <w:t xml:space="preserve"> на кінець</w:t>
      </w:r>
      <w:r w:rsidRPr="00311B07">
        <w:rPr>
          <w:sz w:val="28"/>
          <w:szCs w:val="28"/>
        </w:rPr>
        <w:t xml:space="preserve"> 2016 ро</w:t>
      </w:r>
      <w:r w:rsidR="00670A91">
        <w:rPr>
          <w:sz w:val="28"/>
          <w:szCs w:val="28"/>
        </w:rPr>
        <w:t>ку</w:t>
      </w:r>
      <w:r w:rsidR="00865F26" w:rsidRPr="00311B07">
        <w:rPr>
          <w:sz w:val="28"/>
          <w:szCs w:val="28"/>
        </w:rPr>
        <w:t xml:space="preserve"> </w:t>
      </w:r>
      <w:r w:rsidR="00670A91">
        <w:rPr>
          <w:sz w:val="28"/>
          <w:szCs w:val="28"/>
        </w:rPr>
        <w:t xml:space="preserve">та </w:t>
      </w:r>
      <w:r w:rsidR="00670A91" w:rsidRPr="00311B07">
        <w:rPr>
          <w:sz w:val="28"/>
          <w:szCs w:val="28"/>
        </w:rPr>
        <w:t>71,8%</w:t>
      </w:r>
      <w:r w:rsidR="00670A91">
        <w:rPr>
          <w:sz w:val="28"/>
          <w:szCs w:val="28"/>
        </w:rPr>
        <w:t xml:space="preserve"> на кінець</w:t>
      </w:r>
      <w:r w:rsidRPr="00311B07">
        <w:rPr>
          <w:sz w:val="28"/>
          <w:szCs w:val="28"/>
        </w:rPr>
        <w:t xml:space="preserve"> </w:t>
      </w:r>
      <w:r w:rsidR="00CF1F8B" w:rsidRPr="00311B07">
        <w:rPr>
          <w:sz w:val="28"/>
          <w:szCs w:val="28"/>
        </w:rPr>
        <w:t>201</w:t>
      </w:r>
      <w:r w:rsidR="00865F26" w:rsidRPr="00311B07">
        <w:rPr>
          <w:sz w:val="28"/>
          <w:szCs w:val="28"/>
        </w:rPr>
        <w:t>7</w:t>
      </w:r>
      <w:r w:rsidR="00EC7FCB">
        <w:rPr>
          <w:sz w:val="28"/>
          <w:szCs w:val="28"/>
        </w:rPr>
        <w:t xml:space="preserve"> </w:t>
      </w:r>
      <w:r w:rsidR="00670A91">
        <w:rPr>
          <w:sz w:val="28"/>
          <w:szCs w:val="28"/>
        </w:rPr>
        <w:t>року</w:t>
      </w:r>
      <w:r w:rsidR="00865F26" w:rsidRPr="00311B07">
        <w:rPr>
          <w:sz w:val="28"/>
          <w:szCs w:val="28"/>
        </w:rPr>
        <w:t>.</w:t>
      </w:r>
      <w:r w:rsidRPr="00311B07">
        <w:rPr>
          <w:sz w:val="28"/>
          <w:szCs w:val="28"/>
        </w:rPr>
        <w:t xml:space="preserve"> </w:t>
      </w:r>
    </w:p>
    <w:p w14:paraId="7E4E16F9" w14:textId="77777777" w:rsidR="00A06CF7" w:rsidRPr="00311B07" w:rsidRDefault="00A06CF7" w:rsidP="000545FD">
      <w:pPr>
        <w:spacing w:after="0" w:line="240" w:lineRule="auto"/>
        <w:ind w:firstLine="709"/>
        <w:jc w:val="both"/>
        <w:rPr>
          <w:rFonts w:ascii="Times New Roman" w:eastAsia="Times New Roman" w:hAnsi="Times New Roman"/>
          <w:sz w:val="28"/>
          <w:szCs w:val="28"/>
        </w:rPr>
      </w:pPr>
      <w:r w:rsidRPr="00311B07">
        <w:rPr>
          <w:rFonts w:ascii="Times New Roman" w:eastAsia="Times New Roman" w:hAnsi="Times New Roman"/>
          <w:sz w:val="28"/>
          <w:szCs w:val="28"/>
        </w:rPr>
        <w:t xml:space="preserve">Середньозважений строк до погашення державного боргу на кінець </w:t>
      </w:r>
      <w:r w:rsidR="00CF1F8B" w:rsidRPr="00311B07">
        <w:rPr>
          <w:rFonts w:ascii="Times New Roman" w:eastAsia="Times New Roman" w:hAnsi="Times New Roman"/>
          <w:sz w:val="28"/>
          <w:szCs w:val="28"/>
        </w:rPr>
        <w:t>2018</w:t>
      </w:r>
      <w:r w:rsidR="00F5086C" w:rsidRPr="00311B07">
        <w:rPr>
          <w:rFonts w:ascii="Times New Roman" w:eastAsia="Times New Roman" w:hAnsi="Times New Roman"/>
          <w:sz w:val="28"/>
          <w:szCs w:val="28"/>
        </w:rPr>
        <w:t> </w:t>
      </w:r>
      <w:r w:rsidRPr="00311B07">
        <w:rPr>
          <w:rFonts w:ascii="Times New Roman" w:eastAsia="Times New Roman" w:hAnsi="Times New Roman"/>
          <w:sz w:val="28"/>
          <w:szCs w:val="28"/>
        </w:rPr>
        <w:t xml:space="preserve">року становив </w:t>
      </w:r>
      <w:r w:rsidR="000D0668" w:rsidRPr="00311B07">
        <w:rPr>
          <w:rFonts w:ascii="Times New Roman" w:eastAsia="Times New Roman" w:hAnsi="Times New Roman"/>
          <w:sz w:val="28"/>
          <w:szCs w:val="28"/>
          <w:lang w:val="ru-RU"/>
        </w:rPr>
        <w:t>8</w:t>
      </w:r>
      <w:r w:rsidR="00461B91" w:rsidRPr="00311B07">
        <w:rPr>
          <w:rFonts w:ascii="Times New Roman" w:eastAsia="Times New Roman" w:hAnsi="Times New Roman"/>
          <w:sz w:val="28"/>
          <w:szCs w:val="28"/>
          <w:lang w:val="ru-RU"/>
        </w:rPr>
        <w:t>,</w:t>
      </w:r>
      <w:r w:rsidR="000D0668" w:rsidRPr="00311B07">
        <w:rPr>
          <w:rFonts w:ascii="Times New Roman" w:eastAsia="Times New Roman" w:hAnsi="Times New Roman"/>
          <w:sz w:val="28"/>
          <w:szCs w:val="28"/>
          <w:lang w:val="ru-RU"/>
        </w:rPr>
        <w:t>9</w:t>
      </w:r>
      <w:r w:rsidRPr="00311B07">
        <w:rPr>
          <w:rFonts w:ascii="Times New Roman" w:eastAsia="Times New Roman" w:hAnsi="Times New Roman"/>
          <w:sz w:val="28"/>
          <w:szCs w:val="28"/>
        </w:rPr>
        <w:t xml:space="preserve"> рок</w:t>
      </w:r>
      <w:r w:rsidR="00224E22" w:rsidRPr="00311B07">
        <w:rPr>
          <w:rFonts w:ascii="Times New Roman" w:eastAsia="Times New Roman" w:hAnsi="Times New Roman"/>
          <w:sz w:val="28"/>
          <w:szCs w:val="28"/>
        </w:rPr>
        <w:t>у</w:t>
      </w:r>
      <w:r w:rsidRPr="00311B07">
        <w:rPr>
          <w:rFonts w:ascii="Times New Roman" w:eastAsia="Times New Roman" w:hAnsi="Times New Roman"/>
          <w:sz w:val="28"/>
          <w:szCs w:val="28"/>
        </w:rPr>
        <w:t xml:space="preserve"> проти </w:t>
      </w:r>
      <w:r w:rsidR="006E53D8" w:rsidRPr="00311B07">
        <w:rPr>
          <w:rFonts w:ascii="Times New Roman" w:eastAsia="Times New Roman" w:hAnsi="Times New Roman"/>
          <w:sz w:val="28"/>
          <w:szCs w:val="28"/>
        </w:rPr>
        <w:t xml:space="preserve">передбачених Програмою </w:t>
      </w:r>
      <w:r w:rsidR="00865F26" w:rsidRPr="00311B07">
        <w:rPr>
          <w:rFonts w:ascii="Times New Roman" w:eastAsia="Times New Roman" w:hAnsi="Times New Roman"/>
          <w:sz w:val="28"/>
          <w:szCs w:val="28"/>
        </w:rPr>
        <w:t>7</w:t>
      </w:r>
      <w:r w:rsidR="00EA172A" w:rsidRPr="00311B07">
        <w:rPr>
          <w:rFonts w:ascii="Times New Roman" w:eastAsia="Times New Roman" w:hAnsi="Times New Roman"/>
          <w:sz w:val="28"/>
          <w:szCs w:val="28"/>
        </w:rPr>
        <w:t xml:space="preserve"> рок</w:t>
      </w:r>
      <w:r w:rsidR="00865F26" w:rsidRPr="00311B07">
        <w:rPr>
          <w:rFonts w:ascii="Times New Roman" w:eastAsia="Times New Roman" w:hAnsi="Times New Roman"/>
          <w:sz w:val="28"/>
          <w:szCs w:val="28"/>
        </w:rPr>
        <w:t>ів</w:t>
      </w:r>
      <w:r w:rsidR="00AE2114" w:rsidRPr="00311B07">
        <w:rPr>
          <w:rFonts w:ascii="Times New Roman" w:eastAsia="Times New Roman" w:hAnsi="Times New Roman"/>
          <w:sz w:val="28"/>
          <w:szCs w:val="28"/>
        </w:rPr>
        <w:t xml:space="preserve">, що </w:t>
      </w:r>
      <w:r w:rsidR="008A706F" w:rsidRPr="00311B07">
        <w:rPr>
          <w:rFonts w:ascii="Times New Roman" w:eastAsia="Times New Roman" w:hAnsi="Times New Roman"/>
          <w:sz w:val="28"/>
          <w:szCs w:val="28"/>
        </w:rPr>
        <w:t>зменшує</w:t>
      </w:r>
      <w:r w:rsidR="00AE2114" w:rsidRPr="00311B07">
        <w:rPr>
          <w:rFonts w:ascii="Times New Roman" w:eastAsia="Times New Roman" w:hAnsi="Times New Roman"/>
          <w:sz w:val="28"/>
          <w:szCs w:val="28"/>
        </w:rPr>
        <w:t xml:space="preserve"> ризик рефінансування</w:t>
      </w:r>
      <w:r w:rsidRPr="00311B07">
        <w:rPr>
          <w:rFonts w:ascii="Times New Roman" w:eastAsia="Times New Roman" w:hAnsi="Times New Roman"/>
          <w:sz w:val="28"/>
          <w:szCs w:val="28"/>
        </w:rPr>
        <w:t>.</w:t>
      </w:r>
    </w:p>
    <w:p w14:paraId="14D447B2" w14:textId="77777777" w:rsidR="00A06CF7" w:rsidRPr="00311B07" w:rsidRDefault="00A06CF7" w:rsidP="00D12977">
      <w:pPr>
        <w:spacing w:after="80" w:line="240" w:lineRule="auto"/>
        <w:ind w:firstLine="709"/>
        <w:jc w:val="both"/>
        <w:rPr>
          <w:rFonts w:ascii="Times New Roman" w:eastAsia="Times New Roman" w:hAnsi="Times New Roman"/>
          <w:sz w:val="28"/>
          <w:szCs w:val="28"/>
        </w:rPr>
      </w:pPr>
      <w:r w:rsidRPr="00311B07">
        <w:rPr>
          <w:rFonts w:ascii="Times New Roman" w:eastAsia="Times New Roman" w:hAnsi="Times New Roman"/>
          <w:sz w:val="28"/>
          <w:szCs w:val="28"/>
        </w:rPr>
        <w:t xml:space="preserve">Значне навантаження за борговими </w:t>
      </w:r>
      <w:proofErr w:type="spellStart"/>
      <w:r w:rsidRPr="00311B07">
        <w:rPr>
          <w:rFonts w:ascii="Times New Roman" w:eastAsia="Times New Roman" w:hAnsi="Times New Roman"/>
          <w:sz w:val="28"/>
          <w:szCs w:val="28"/>
        </w:rPr>
        <w:t>платежами</w:t>
      </w:r>
      <w:proofErr w:type="spellEnd"/>
      <w:r w:rsidRPr="00311B07">
        <w:rPr>
          <w:rFonts w:ascii="Times New Roman" w:eastAsia="Times New Roman" w:hAnsi="Times New Roman"/>
          <w:sz w:val="28"/>
          <w:szCs w:val="28"/>
        </w:rPr>
        <w:t xml:space="preserve"> все ще припадає на 201</w:t>
      </w:r>
      <w:r w:rsidR="00461B91" w:rsidRPr="00311B07">
        <w:rPr>
          <w:rFonts w:ascii="Times New Roman" w:eastAsia="Times New Roman" w:hAnsi="Times New Roman"/>
          <w:sz w:val="28"/>
          <w:szCs w:val="28"/>
        </w:rPr>
        <w:t>9</w:t>
      </w:r>
      <w:r w:rsidR="00B82C65" w:rsidRPr="00311B07">
        <w:rPr>
          <w:rFonts w:ascii="Times New Roman" w:eastAsia="Times New Roman" w:hAnsi="Times New Roman"/>
          <w:sz w:val="28"/>
          <w:szCs w:val="28"/>
        </w:rPr>
        <w:noBreakHyphen/>
      </w:r>
      <w:r w:rsidRPr="00311B07">
        <w:rPr>
          <w:rFonts w:ascii="Times New Roman" w:eastAsia="Times New Roman" w:hAnsi="Times New Roman"/>
          <w:sz w:val="28"/>
          <w:szCs w:val="28"/>
        </w:rPr>
        <w:t xml:space="preserve">2021 роки внаслідок необхідності погашення державного зовнішнього боргу перед МВФ та за частиною </w:t>
      </w:r>
      <w:r w:rsidR="00224E22" w:rsidRPr="00311B07">
        <w:rPr>
          <w:rFonts w:ascii="Times New Roman" w:eastAsia="Times New Roman" w:hAnsi="Times New Roman"/>
          <w:sz w:val="28"/>
          <w:szCs w:val="28"/>
        </w:rPr>
        <w:t xml:space="preserve">випусків </w:t>
      </w:r>
      <w:r w:rsidR="00440526" w:rsidRPr="00311B07">
        <w:rPr>
          <w:rFonts w:ascii="Times New Roman" w:eastAsia="Times New Roman" w:hAnsi="Times New Roman"/>
          <w:sz w:val="28"/>
          <w:szCs w:val="28"/>
        </w:rPr>
        <w:t>ОЗДП</w:t>
      </w:r>
      <w:r w:rsidR="00224E22" w:rsidRPr="00311B07">
        <w:rPr>
          <w:rFonts w:ascii="Times New Roman" w:eastAsia="Times New Roman" w:hAnsi="Times New Roman"/>
          <w:sz w:val="28"/>
          <w:szCs w:val="28"/>
        </w:rPr>
        <w:t xml:space="preserve"> 2014–</w:t>
      </w:r>
      <w:r w:rsidRPr="00311B07">
        <w:rPr>
          <w:rFonts w:ascii="Times New Roman" w:eastAsia="Times New Roman" w:hAnsi="Times New Roman"/>
          <w:sz w:val="28"/>
          <w:szCs w:val="28"/>
        </w:rPr>
        <w:t>2016 років</w:t>
      </w:r>
      <w:r w:rsidR="00817A67" w:rsidRPr="00311B07">
        <w:rPr>
          <w:rFonts w:ascii="Times New Roman" w:eastAsia="Times New Roman" w:hAnsi="Times New Roman"/>
          <w:sz w:val="28"/>
          <w:szCs w:val="28"/>
        </w:rPr>
        <w:t>, а також у зв’язку зі значними обсягами випуску короткострокових ОВДП 2018 року</w:t>
      </w:r>
      <w:r w:rsidRPr="00311B07">
        <w:rPr>
          <w:rFonts w:ascii="Times New Roman" w:eastAsia="Times New Roman" w:hAnsi="Times New Roman"/>
          <w:sz w:val="28"/>
          <w:szCs w:val="28"/>
        </w:rPr>
        <w:t>.</w:t>
      </w:r>
    </w:p>
    <w:p w14:paraId="2ECF273F" w14:textId="77777777" w:rsidR="00A06CF7" w:rsidRPr="00311B07" w:rsidRDefault="00A06CF7" w:rsidP="000545FD">
      <w:pPr>
        <w:pStyle w:val="a3"/>
        <w:shd w:val="clear" w:color="auto" w:fill="FFFFFF"/>
        <w:tabs>
          <w:tab w:val="left" w:pos="993"/>
        </w:tabs>
        <w:spacing w:before="0" w:beforeAutospacing="0" w:after="0" w:afterAutospacing="0"/>
        <w:ind w:firstLine="709"/>
        <w:jc w:val="both"/>
        <w:rPr>
          <w:b/>
          <w:i/>
          <w:sz w:val="28"/>
          <w:szCs w:val="28"/>
        </w:rPr>
      </w:pPr>
      <w:r w:rsidRPr="00311B07">
        <w:rPr>
          <w:b/>
          <w:i/>
          <w:sz w:val="28"/>
          <w:szCs w:val="28"/>
        </w:rPr>
        <w:t xml:space="preserve">Ризик ліквідності </w:t>
      </w:r>
    </w:p>
    <w:p w14:paraId="5C215C79" w14:textId="77777777" w:rsidR="004D523C" w:rsidRPr="00311B07" w:rsidRDefault="004D523C" w:rsidP="000545FD">
      <w:pPr>
        <w:spacing w:after="0" w:line="240" w:lineRule="auto"/>
        <w:ind w:firstLine="709"/>
        <w:jc w:val="both"/>
        <w:rPr>
          <w:rFonts w:ascii="Times New Roman" w:eastAsia="Times New Roman" w:hAnsi="Times New Roman"/>
          <w:sz w:val="28"/>
          <w:szCs w:val="28"/>
        </w:rPr>
      </w:pPr>
      <w:r w:rsidRPr="00311B07">
        <w:rPr>
          <w:rFonts w:ascii="Times New Roman" w:eastAsia="Times New Roman" w:hAnsi="Times New Roman"/>
          <w:sz w:val="28"/>
          <w:szCs w:val="28"/>
        </w:rPr>
        <w:t xml:space="preserve">Залишок коштів на єдиному казначейському рахунку протягом </w:t>
      </w:r>
      <w:r w:rsidR="00CF1F8B" w:rsidRPr="00311B07">
        <w:rPr>
          <w:rFonts w:ascii="Times New Roman" w:eastAsia="Times New Roman" w:hAnsi="Times New Roman"/>
          <w:sz w:val="28"/>
          <w:szCs w:val="28"/>
        </w:rPr>
        <w:t>2018</w:t>
      </w:r>
      <w:r w:rsidRPr="00311B07">
        <w:rPr>
          <w:rFonts w:ascii="Times New Roman" w:eastAsia="Times New Roman" w:hAnsi="Times New Roman"/>
          <w:sz w:val="28"/>
          <w:szCs w:val="28"/>
        </w:rPr>
        <w:t xml:space="preserve"> року дозволяв вчасно проводити платежі за державним боргом. Водночас Мінфіном здійснювались заходи щодо забезпечення рівномірності</w:t>
      </w:r>
      <w:r w:rsidR="003F626C" w:rsidRPr="00311B07">
        <w:rPr>
          <w:rFonts w:ascii="Times New Roman" w:eastAsia="Times New Roman" w:hAnsi="Times New Roman"/>
          <w:sz w:val="28"/>
          <w:szCs w:val="28"/>
        </w:rPr>
        <w:t xml:space="preserve"> таких платежів</w:t>
      </w:r>
      <w:r w:rsidRPr="00311B07">
        <w:rPr>
          <w:rFonts w:ascii="Times New Roman" w:eastAsia="Times New Roman" w:hAnsi="Times New Roman"/>
          <w:sz w:val="28"/>
          <w:szCs w:val="28"/>
        </w:rPr>
        <w:t>.</w:t>
      </w:r>
    </w:p>
    <w:p w14:paraId="06E57DD4" w14:textId="77777777" w:rsidR="00A06CF7" w:rsidRPr="00311B07" w:rsidRDefault="00A06CF7" w:rsidP="00D12977">
      <w:pPr>
        <w:shd w:val="clear" w:color="FFFFFF" w:fill="FFFFFF"/>
        <w:tabs>
          <w:tab w:val="left" w:pos="993"/>
        </w:tabs>
        <w:spacing w:after="80" w:line="240" w:lineRule="auto"/>
        <w:ind w:firstLine="709"/>
        <w:jc w:val="both"/>
        <w:rPr>
          <w:rFonts w:ascii="Times New Roman" w:hAnsi="Times New Roman"/>
          <w:sz w:val="28"/>
          <w:szCs w:val="28"/>
        </w:rPr>
      </w:pPr>
      <w:r w:rsidRPr="00311B07">
        <w:rPr>
          <w:rFonts w:ascii="Times New Roman" w:eastAsia="Times New Roman" w:hAnsi="Times New Roman"/>
          <w:sz w:val="28"/>
          <w:szCs w:val="28"/>
        </w:rPr>
        <w:t xml:space="preserve">Міжнародні резерви України на кінець </w:t>
      </w:r>
      <w:r w:rsidR="00CF1F8B" w:rsidRPr="00311B07">
        <w:rPr>
          <w:rFonts w:ascii="Times New Roman" w:eastAsia="Times New Roman" w:hAnsi="Times New Roman"/>
          <w:sz w:val="28"/>
          <w:szCs w:val="28"/>
        </w:rPr>
        <w:t>2018</w:t>
      </w:r>
      <w:r w:rsidRPr="00311B07">
        <w:rPr>
          <w:rFonts w:ascii="Times New Roman" w:eastAsia="Times New Roman" w:hAnsi="Times New Roman"/>
          <w:sz w:val="28"/>
          <w:szCs w:val="28"/>
        </w:rPr>
        <w:t xml:space="preserve"> року становили в еквіваленті </w:t>
      </w:r>
      <w:r w:rsidR="00AE2114" w:rsidRPr="00311B07">
        <w:rPr>
          <w:rFonts w:ascii="Times New Roman" w:eastAsia="Times New Roman" w:hAnsi="Times New Roman"/>
          <w:sz w:val="28"/>
          <w:szCs w:val="28"/>
        </w:rPr>
        <w:t xml:space="preserve">20,8 млрд </w:t>
      </w:r>
      <w:proofErr w:type="spellStart"/>
      <w:r w:rsidR="00AE2114" w:rsidRPr="00311B07">
        <w:rPr>
          <w:rFonts w:ascii="Times New Roman" w:eastAsia="Times New Roman" w:hAnsi="Times New Roman"/>
          <w:sz w:val="28"/>
          <w:szCs w:val="28"/>
        </w:rPr>
        <w:t>дол</w:t>
      </w:r>
      <w:proofErr w:type="spellEnd"/>
      <w:r w:rsidR="00AE2114" w:rsidRPr="00311B07">
        <w:rPr>
          <w:rFonts w:ascii="Times New Roman" w:eastAsia="Times New Roman" w:hAnsi="Times New Roman"/>
          <w:sz w:val="28"/>
          <w:szCs w:val="28"/>
        </w:rPr>
        <w:t>. США</w:t>
      </w:r>
      <w:r w:rsidR="00D12977" w:rsidRPr="00311B07">
        <w:rPr>
          <w:rFonts w:ascii="Times New Roman" w:eastAsia="Times New Roman" w:hAnsi="Times New Roman"/>
          <w:sz w:val="28"/>
          <w:szCs w:val="28"/>
        </w:rPr>
        <w:t xml:space="preserve"> та</w:t>
      </w:r>
      <w:r w:rsidRPr="00311B07">
        <w:rPr>
          <w:rFonts w:ascii="Times New Roman" w:eastAsia="Times New Roman" w:hAnsi="Times New Roman"/>
          <w:sz w:val="28"/>
          <w:szCs w:val="28"/>
        </w:rPr>
        <w:t xml:space="preserve"> покрива</w:t>
      </w:r>
      <w:r w:rsidR="00645BA1" w:rsidRPr="00311B07">
        <w:rPr>
          <w:rFonts w:ascii="Times New Roman" w:eastAsia="Times New Roman" w:hAnsi="Times New Roman"/>
          <w:sz w:val="28"/>
          <w:szCs w:val="28"/>
        </w:rPr>
        <w:t>ли</w:t>
      </w:r>
      <w:r w:rsidRPr="00311B07">
        <w:rPr>
          <w:rFonts w:ascii="Times New Roman" w:eastAsia="Times New Roman" w:hAnsi="Times New Roman"/>
          <w:sz w:val="28"/>
          <w:szCs w:val="28"/>
        </w:rPr>
        <w:t xml:space="preserve"> </w:t>
      </w:r>
      <w:r w:rsidR="00AE2114" w:rsidRPr="00311B07">
        <w:rPr>
          <w:rFonts w:ascii="Times New Roman" w:eastAsia="Times New Roman" w:hAnsi="Times New Roman"/>
          <w:sz w:val="28"/>
          <w:szCs w:val="28"/>
        </w:rPr>
        <w:t>3,5</w:t>
      </w:r>
      <w:r w:rsidRPr="00311B07">
        <w:rPr>
          <w:rFonts w:ascii="Times New Roman" w:eastAsia="Times New Roman" w:hAnsi="Times New Roman"/>
          <w:sz w:val="28"/>
          <w:szCs w:val="28"/>
        </w:rPr>
        <w:t xml:space="preserve"> місяця майбутнього імпорту, що є достатнім для виконання зобов’язань України та поточних операцій Уряду і НБУ.</w:t>
      </w:r>
    </w:p>
    <w:p w14:paraId="2D18E8C3" w14:textId="08D3C0F3" w:rsidR="00A06CF7" w:rsidRPr="00311B07" w:rsidRDefault="00A06CF7" w:rsidP="000545FD">
      <w:pPr>
        <w:spacing w:after="0" w:line="240" w:lineRule="auto"/>
        <w:ind w:firstLine="709"/>
        <w:jc w:val="both"/>
        <w:rPr>
          <w:rFonts w:ascii="Times New Roman" w:hAnsi="Times New Roman"/>
          <w:b/>
          <w:i/>
          <w:sz w:val="28"/>
          <w:szCs w:val="28"/>
        </w:rPr>
      </w:pPr>
      <w:r w:rsidRPr="00311B07">
        <w:rPr>
          <w:rFonts w:ascii="Times New Roman" w:hAnsi="Times New Roman"/>
          <w:b/>
          <w:i/>
          <w:sz w:val="28"/>
          <w:szCs w:val="28"/>
        </w:rPr>
        <w:t>Ризики, пов'язані з управлінням боргом</w:t>
      </w:r>
    </w:p>
    <w:p w14:paraId="2FA643E7" w14:textId="16B6E752" w:rsidR="00A06CF7" w:rsidRPr="00311B07" w:rsidRDefault="00CD0BBD" w:rsidP="000545FD">
      <w:pPr>
        <w:pStyle w:val="ac"/>
        <w:spacing w:before="0" w:after="80"/>
        <w:ind w:firstLine="709"/>
        <w:jc w:val="both"/>
        <w:rPr>
          <w:rFonts w:ascii="Times New Roman" w:hAnsi="Times New Roman"/>
          <w:sz w:val="28"/>
          <w:szCs w:val="28"/>
        </w:rPr>
      </w:pPr>
      <w:r w:rsidRPr="00311B07">
        <w:rPr>
          <w:rFonts w:ascii="Times New Roman" w:hAnsi="Times New Roman"/>
          <w:sz w:val="28"/>
          <w:szCs w:val="28"/>
        </w:rPr>
        <w:t xml:space="preserve">У 2018 році </w:t>
      </w:r>
      <w:r w:rsidR="001E3770">
        <w:rPr>
          <w:rFonts w:ascii="Times New Roman" w:hAnsi="Times New Roman"/>
          <w:sz w:val="28"/>
          <w:szCs w:val="28"/>
        </w:rPr>
        <w:t>У</w:t>
      </w:r>
      <w:r w:rsidR="009447CC" w:rsidRPr="00311B07">
        <w:rPr>
          <w:rFonts w:ascii="Times New Roman" w:hAnsi="Times New Roman"/>
          <w:sz w:val="28"/>
          <w:szCs w:val="28"/>
        </w:rPr>
        <w:t xml:space="preserve">рядом не було реалізовано право надане статтею 16 та 17 </w:t>
      </w:r>
      <w:r w:rsidR="009447CC" w:rsidRPr="00311B07">
        <w:rPr>
          <w:rFonts w:ascii="Times New Roman" w:eastAsia="Calibri" w:hAnsi="Times New Roman"/>
          <w:sz w:val="28"/>
          <w:szCs w:val="28"/>
          <w:lang w:eastAsia="en-US"/>
        </w:rPr>
        <w:t>Закону України «Про Державний бюджет України на 2018 рік» щодо капіталізації банків та Фонду гарантування вкладів</w:t>
      </w:r>
      <w:r w:rsidR="00303834" w:rsidRPr="00311B07">
        <w:rPr>
          <w:rFonts w:ascii="Times New Roman" w:eastAsia="Calibri" w:hAnsi="Times New Roman"/>
          <w:sz w:val="28"/>
          <w:szCs w:val="28"/>
          <w:lang w:eastAsia="en-US"/>
        </w:rPr>
        <w:t>.</w:t>
      </w:r>
      <w:r w:rsidR="009447CC" w:rsidRPr="00311B07">
        <w:rPr>
          <w:rFonts w:ascii="Times New Roman" w:eastAsia="Calibri" w:hAnsi="Times New Roman"/>
          <w:sz w:val="28"/>
          <w:szCs w:val="28"/>
          <w:lang w:eastAsia="en-US"/>
        </w:rPr>
        <w:t xml:space="preserve"> </w:t>
      </w:r>
      <w:r w:rsidR="009447CC" w:rsidRPr="00311B07">
        <w:rPr>
          <w:rFonts w:ascii="Times New Roman" w:hAnsi="Times New Roman"/>
          <w:sz w:val="28"/>
          <w:szCs w:val="28"/>
        </w:rPr>
        <w:t xml:space="preserve"> </w:t>
      </w:r>
      <w:r w:rsidR="00A06CF7" w:rsidRPr="00311B07">
        <w:rPr>
          <w:rFonts w:ascii="Times New Roman" w:hAnsi="Times New Roman"/>
          <w:sz w:val="28"/>
          <w:szCs w:val="28"/>
        </w:rPr>
        <w:t xml:space="preserve"> </w:t>
      </w:r>
    </w:p>
    <w:p w14:paraId="1887BE33" w14:textId="0F2A907C" w:rsidR="00FC75FC" w:rsidRDefault="003F626C" w:rsidP="000545FD">
      <w:pPr>
        <w:pStyle w:val="a3"/>
        <w:shd w:val="clear" w:color="auto" w:fill="FFFFFF"/>
        <w:spacing w:before="0" w:beforeAutospacing="0" w:after="0" w:afterAutospacing="0"/>
        <w:ind w:firstLine="709"/>
        <w:jc w:val="both"/>
        <w:rPr>
          <w:bCs/>
          <w:sz w:val="28"/>
          <w:szCs w:val="28"/>
        </w:rPr>
      </w:pPr>
      <w:r w:rsidRPr="00311B07">
        <w:rPr>
          <w:sz w:val="28"/>
          <w:szCs w:val="28"/>
        </w:rPr>
        <w:t xml:space="preserve">Таким чином, </w:t>
      </w:r>
      <w:r w:rsidRPr="00311B07">
        <w:rPr>
          <w:bCs/>
          <w:sz w:val="28"/>
          <w:szCs w:val="28"/>
        </w:rPr>
        <w:t>д</w:t>
      </w:r>
      <w:r w:rsidR="00FC75FC" w:rsidRPr="00311B07">
        <w:rPr>
          <w:bCs/>
          <w:sz w:val="28"/>
          <w:szCs w:val="28"/>
        </w:rPr>
        <w:t xml:space="preserve">ержавний борг України в 2018 році характеризувався </w:t>
      </w:r>
      <w:r w:rsidR="00F714A0" w:rsidRPr="00311B07">
        <w:rPr>
          <w:bCs/>
          <w:sz w:val="28"/>
          <w:szCs w:val="28"/>
        </w:rPr>
        <w:t xml:space="preserve">суттєвими </w:t>
      </w:r>
      <w:r w:rsidR="00FC75FC" w:rsidRPr="00311B07">
        <w:rPr>
          <w:bCs/>
          <w:sz w:val="28"/>
          <w:szCs w:val="28"/>
        </w:rPr>
        <w:t>бюджетним та валютним ризиками.</w:t>
      </w:r>
      <w:r w:rsidRPr="00311B07">
        <w:rPr>
          <w:bCs/>
          <w:sz w:val="28"/>
          <w:szCs w:val="28"/>
        </w:rPr>
        <w:t xml:space="preserve"> </w:t>
      </w:r>
      <w:r w:rsidR="00FC75FC" w:rsidRPr="00311B07">
        <w:rPr>
          <w:bCs/>
          <w:sz w:val="28"/>
          <w:szCs w:val="28"/>
        </w:rPr>
        <w:t>Рівні відсоткового ризику та ризику ліквідності були помірн</w:t>
      </w:r>
      <w:r w:rsidR="008A706F" w:rsidRPr="00311B07">
        <w:rPr>
          <w:bCs/>
          <w:sz w:val="28"/>
          <w:szCs w:val="28"/>
        </w:rPr>
        <w:t>ими</w:t>
      </w:r>
      <w:r w:rsidR="00FC75FC" w:rsidRPr="00311B07">
        <w:rPr>
          <w:bCs/>
          <w:sz w:val="28"/>
          <w:szCs w:val="28"/>
        </w:rPr>
        <w:t>, однак ризик рефінансування все ще</w:t>
      </w:r>
      <w:r w:rsidR="008F05E6" w:rsidRPr="00311B07">
        <w:rPr>
          <w:bCs/>
          <w:sz w:val="28"/>
          <w:szCs w:val="28"/>
        </w:rPr>
        <w:t xml:space="preserve"> </w:t>
      </w:r>
      <w:r w:rsidR="008F05E6" w:rsidRPr="00311B07">
        <w:rPr>
          <w:bCs/>
          <w:sz w:val="28"/>
          <w:szCs w:val="28"/>
        </w:rPr>
        <w:lastRenderedPageBreak/>
        <w:t>оцінюється як</w:t>
      </w:r>
      <w:r w:rsidR="00FC75FC" w:rsidRPr="00311B07">
        <w:rPr>
          <w:bCs/>
          <w:sz w:val="28"/>
          <w:szCs w:val="28"/>
        </w:rPr>
        <w:t xml:space="preserve"> значний,</w:t>
      </w:r>
      <w:r w:rsidRPr="00311B07">
        <w:rPr>
          <w:bCs/>
          <w:sz w:val="28"/>
          <w:szCs w:val="28"/>
        </w:rPr>
        <w:t xml:space="preserve"> в тому числі</w:t>
      </w:r>
      <w:r w:rsidR="00FC75FC" w:rsidRPr="00311B07">
        <w:rPr>
          <w:bCs/>
          <w:sz w:val="28"/>
          <w:szCs w:val="28"/>
        </w:rPr>
        <w:t xml:space="preserve"> внаслідок жорсткої монетарної політики НБУ.</w:t>
      </w:r>
      <w:r w:rsidRPr="00311B07">
        <w:rPr>
          <w:bCs/>
          <w:sz w:val="28"/>
          <w:szCs w:val="28"/>
        </w:rPr>
        <w:t xml:space="preserve"> Ризики, пов’язані з управлінням боргом, оцінюються як низькі.</w:t>
      </w:r>
    </w:p>
    <w:p w14:paraId="2A9876BB" w14:textId="77777777" w:rsidR="00845724" w:rsidRPr="00311B07" w:rsidRDefault="00845724" w:rsidP="00B82C65">
      <w:pPr>
        <w:pStyle w:val="1"/>
        <w:numPr>
          <w:ilvl w:val="0"/>
          <w:numId w:val="15"/>
        </w:numPr>
        <w:rPr>
          <w:b w:val="0"/>
          <w:color w:val="365F91" w:themeColor="accent1" w:themeShade="BF"/>
        </w:rPr>
      </w:pPr>
      <w:r w:rsidRPr="00311B07">
        <w:rPr>
          <w:color w:val="365F91" w:themeColor="accent1" w:themeShade="BF"/>
        </w:rPr>
        <w:t>Співпраця з рейтинговими агентствами</w:t>
      </w:r>
    </w:p>
    <w:p w14:paraId="360FB35C" w14:textId="77777777" w:rsidR="001F7736" w:rsidRPr="00311B07" w:rsidRDefault="001F7736" w:rsidP="00A370E7">
      <w:pPr>
        <w:shd w:val="clear" w:color="auto" w:fill="FFFFFF"/>
        <w:spacing w:after="0" w:line="240" w:lineRule="auto"/>
        <w:ind w:firstLine="567"/>
        <w:jc w:val="both"/>
        <w:rPr>
          <w:rFonts w:ascii="Times New Roman" w:eastAsia="Times New Roman" w:hAnsi="Times New Roman" w:cs="Times New Roman"/>
          <w:sz w:val="28"/>
          <w:szCs w:val="28"/>
        </w:rPr>
      </w:pPr>
      <w:r w:rsidRPr="00311B07">
        <w:rPr>
          <w:rFonts w:ascii="Times New Roman" w:hAnsi="Times New Roman"/>
          <w:sz w:val="28"/>
          <w:szCs w:val="28"/>
        </w:rPr>
        <w:t>Протягом 2018 року суверенні кредитні рейтинги України були підвищені або підтверджені рейтинговими агентствами (</w:t>
      </w:r>
      <w:proofErr w:type="spellStart"/>
      <w:r w:rsidRPr="00311B07">
        <w:rPr>
          <w:rFonts w:ascii="Times New Roman" w:hAnsi="Times New Roman"/>
          <w:sz w:val="28"/>
          <w:szCs w:val="28"/>
        </w:rPr>
        <w:t>Moody’s</w:t>
      </w:r>
      <w:proofErr w:type="spellEnd"/>
      <w:r w:rsidRPr="00311B07">
        <w:rPr>
          <w:rFonts w:ascii="Times New Roman" w:hAnsi="Times New Roman"/>
          <w:sz w:val="28"/>
          <w:szCs w:val="28"/>
        </w:rPr>
        <w:t xml:space="preserve"> підвищив з рівня «Саа2» до «Саа1» та змінив прогноз з позитивного на стабільний; Standard &amp; </w:t>
      </w:r>
      <w:proofErr w:type="spellStart"/>
      <w:r w:rsidRPr="00311B07">
        <w:rPr>
          <w:rFonts w:ascii="Times New Roman" w:hAnsi="Times New Roman"/>
          <w:sz w:val="28"/>
          <w:szCs w:val="28"/>
        </w:rPr>
        <w:t>Poor’s</w:t>
      </w:r>
      <w:proofErr w:type="spellEnd"/>
      <w:r w:rsidRPr="00311B07">
        <w:rPr>
          <w:rFonts w:ascii="Times New Roman" w:hAnsi="Times New Roman"/>
          <w:sz w:val="28"/>
          <w:szCs w:val="28"/>
        </w:rPr>
        <w:t xml:space="preserve"> підтвердив рейтинг «В-» та прогноз стабільний; </w:t>
      </w:r>
      <w:proofErr w:type="spellStart"/>
      <w:r w:rsidRPr="00311B07">
        <w:rPr>
          <w:rFonts w:ascii="Times New Roman" w:hAnsi="Times New Roman"/>
          <w:sz w:val="28"/>
          <w:szCs w:val="28"/>
        </w:rPr>
        <w:t>Fitch</w:t>
      </w:r>
      <w:proofErr w:type="spellEnd"/>
      <w:r w:rsidRPr="00311B07">
        <w:rPr>
          <w:rFonts w:ascii="Times New Roman" w:hAnsi="Times New Roman"/>
          <w:sz w:val="28"/>
          <w:szCs w:val="28"/>
        </w:rPr>
        <w:t xml:space="preserve"> </w:t>
      </w:r>
      <w:proofErr w:type="spellStart"/>
      <w:r w:rsidRPr="00311B07">
        <w:rPr>
          <w:rFonts w:ascii="Times New Roman" w:hAnsi="Times New Roman"/>
          <w:sz w:val="28"/>
          <w:szCs w:val="28"/>
        </w:rPr>
        <w:t>Ratings</w:t>
      </w:r>
      <w:proofErr w:type="spellEnd"/>
      <w:r w:rsidRPr="00311B07">
        <w:rPr>
          <w:rFonts w:ascii="Times New Roman" w:hAnsi="Times New Roman"/>
          <w:sz w:val="28"/>
          <w:szCs w:val="28"/>
        </w:rPr>
        <w:t xml:space="preserve"> підтвердив рейтинг «В-» та прогноз стабільний).</w:t>
      </w:r>
      <w:r w:rsidRPr="00311B07">
        <w:rPr>
          <w:rFonts w:ascii="Times New Roman" w:eastAsia="Times New Roman" w:hAnsi="Times New Roman" w:cs="Times New Roman"/>
          <w:sz w:val="28"/>
          <w:szCs w:val="28"/>
        </w:rPr>
        <w:t xml:space="preserve"> </w:t>
      </w:r>
    </w:p>
    <w:p w14:paraId="13609895" w14:textId="77777777" w:rsidR="001F7736" w:rsidRPr="00311B07" w:rsidRDefault="001F7736" w:rsidP="00A370E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Агентствами зазначено такі позитивні чинники щодо підвищення рейтингів:</w:t>
      </w:r>
    </w:p>
    <w:p w14:paraId="7BCA3C87" w14:textId="77777777" w:rsidR="001F7736" w:rsidRPr="00311B07" w:rsidRDefault="001F7736" w:rsidP="00A370E7">
      <w:pPr>
        <w:pStyle w:val="a3"/>
        <w:numPr>
          <w:ilvl w:val="0"/>
          <w:numId w:val="12"/>
        </w:numPr>
        <w:tabs>
          <w:tab w:val="left" w:pos="633"/>
          <w:tab w:val="left" w:pos="709"/>
          <w:tab w:val="left" w:pos="993"/>
        </w:tabs>
        <w:spacing w:before="0" w:beforeAutospacing="0" w:after="0" w:afterAutospacing="0"/>
        <w:ind w:left="0" w:firstLine="567"/>
        <w:jc w:val="both"/>
        <w:rPr>
          <w:sz w:val="28"/>
          <w:szCs w:val="28"/>
        </w:rPr>
      </w:pPr>
      <w:r w:rsidRPr="00311B07">
        <w:rPr>
          <w:sz w:val="28"/>
          <w:szCs w:val="28"/>
        </w:rPr>
        <w:t>продовження співпраці з Міжнародним валютним фондом, що позитивно впливає на отримання іншої міжнародної фінансової допомоги;</w:t>
      </w:r>
    </w:p>
    <w:p w14:paraId="18811449" w14:textId="77777777" w:rsidR="001F7736" w:rsidRPr="00311B07" w:rsidRDefault="001F7736" w:rsidP="00A370E7">
      <w:pPr>
        <w:pStyle w:val="a3"/>
        <w:numPr>
          <w:ilvl w:val="0"/>
          <w:numId w:val="12"/>
        </w:numPr>
        <w:tabs>
          <w:tab w:val="left" w:pos="633"/>
          <w:tab w:val="left" w:pos="709"/>
          <w:tab w:val="left" w:pos="993"/>
        </w:tabs>
        <w:spacing w:before="0" w:beforeAutospacing="0" w:after="0" w:afterAutospacing="0"/>
        <w:ind w:left="0" w:firstLine="567"/>
        <w:jc w:val="both"/>
        <w:rPr>
          <w:sz w:val="28"/>
          <w:szCs w:val="28"/>
        </w:rPr>
      </w:pPr>
      <w:r w:rsidRPr="00311B07">
        <w:rPr>
          <w:sz w:val="28"/>
          <w:szCs w:val="28"/>
        </w:rPr>
        <w:t>наближення інфляції до цільового показника Національного банку України;</w:t>
      </w:r>
    </w:p>
    <w:p w14:paraId="2AF3F722" w14:textId="77777777" w:rsidR="001F7736" w:rsidRPr="00311B07" w:rsidRDefault="001F7736" w:rsidP="00A370E7">
      <w:pPr>
        <w:pStyle w:val="a3"/>
        <w:numPr>
          <w:ilvl w:val="0"/>
          <w:numId w:val="12"/>
        </w:numPr>
        <w:tabs>
          <w:tab w:val="left" w:pos="633"/>
          <w:tab w:val="left" w:pos="709"/>
          <w:tab w:val="left" w:pos="993"/>
        </w:tabs>
        <w:spacing w:before="0" w:beforeAutospacing="0" w:after="0" w:afterAutospacing="0"/>
        <w:ind w:left="0" w:firstLine="567"/>
        <w:jc w:val="both"/>
        <w:rPr>
          <w:sz w:val="28"/>
          <w:szCs w:val="28"/>
        </w:rPr>
      </w:pPr>
      <w:r w:rsidRPr="00311B07">
        <w:rPr>
          <w:sz w:val="28"/>
          <w:szCs w:val="28"/>
        </w:rPr>
        <w:t>дефіцит державного бюджету в 2018-</w:t>
      </w:r>
      <w:r w:rsidR="002C3024">
        <w:rPr>
          <w:sz w:val="28"/>
          <w:szCs w:val="28"/>
        </w:rPr>
        <w:t>20</w:t>
      </w:r>
      <w:r w:rsidRPr="00311B07">
        <w:rPr>
          <w:sz w:val="28"/>
          <w:szCs w:val="28"/>
        </w:rPr>
        <w:t xml:space="preserve">19 рр. </w:t>
      </w:r>
      <w:r w:rsidR="008A706F" w:rsidRPr="00311B07">
        <w:rPr>
          <w:sz w:val="28"/>
          <w:szCs w:val="28"/>
        </w:rPr>
        <w:t xml:space="preserve">знаходитиметься </w:t>
      </w:r>
      <w:r w:rsidRPr="00311B07">
        <w:rPr>
          <w:sz w:val="28"/>
          <w:szCs w:val="28"/>
        </w:rPr>
        <w:t>в межах показників програми МВФ;</w:t>
      </w:r>
    </w:p>
    <w:p w14:paraId="6C5C992F" w14:textId="77777777" w:rsidR="001F7736" w:rsidRPr="00311B07" w:rsidRDefault="001F7736" w:rsidP="00A370E7">
      <w:pPr>
        <w:pStyle w:val="a3"/>
        <w:numPr>
          <w:ilvl w:val="0"/>
          <w:numId w:val="12"/>
        </w:numPr>
        <w:tabs>
          <w:tab w:val="left" w:pos="633"/>
          <w:tab w:val="left" w:pos="709"/>
          <w:tab w:val="left" w:pos="993"/>
        </w:tabs>
        <w:spacing w:before="0" w:beforeAutospacing="0" w:after="0" w:afterAutospacing="0"/>
        <w:ind w:left="0" w:firstLine="567"/>
        <w:jc w:val="both"/>
        <w:rPr>
          <w:sz w:val="28"/>
          <w:szCs w:val="28"/>
        </w:rPr>
      </w:pPr>
      <w:r w:rsidRPr="00311B07">
        <w:rPr>
          <w:sz w:val="28"/>
          <w:szCs w:val="28"/>
        </w:rPr>
        <w:t>зменшення рівня зовнішньої вразливості;</w:t>
      </w:r>
    </w:p>
    <w:p w14:paraId="376D8501" w14:textId="77777777" w:rsidR="001F7736" w:rsidRPr="00311B07" w:rsidRDefault="008A706F" w:rsidP="00A370E7">
      <w:pPr>
        <w:pStyle w:val="a3"/>
        <w:numPr>
          <w:ilvl w:val="0"/>
          <w:numId w:val="12"/>
        </w:numPr>
        <w:tabs>
          <w:tab w:val="left" w:pos="633"/>
          <w:tab w:val="left" w:pos="709"/>
          <w:tab w:val="left" w:pos="993"/>
        </w:tabs>
        <w:spacing w:before="0" w:beforeAutospacing="0" w:after="0" w:afterAutospacing="0"/>
        <w:ind w:left="0" w:firstLine="567"/>
        <w:jc w:val="both"/>
        <w:rPr>
          <w:sz w:val="28"/>
          <w:szCs w:val="28"/>
        </w:rPr>
      </w:pPr>
      <w:r w:rsidRPr="00311B07">
        <w:rPr>
          <w:sz w:val="28"/>
          <w:szCs w:val="28"/>
        </w:rPr>
        <w:t xml:space="preserve">позитивні </w:t>
      </w:r>
      <w:r w:rsidR="001F7736" w:rsidRPr="00311B07">
        <w:rPr>
          <w:sz w:val="28"/>
          <w:szCs w:val="28"/>
        </w:rPr>
        <w:t>очікування щодо подальшого впровадження реформ.</w:t>
      </w:r>
    </w:p>
    <w:p w14:paraId="7F94449C" w14:textId="77777777" w:rsidR="001F7736" w:rsidRPr="00311B07" w:rsidRDefault="001F7736" w:rsidP="00A370E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Протягом 2018 року Мінфіном організовано та проведено щорічні рейтингові візити міжнародних рейтингових агентств, а саме:</w:t>
      </w:r>
    </w:p>
    <w:p w14:paraId="76191F49" w14:textId="77777777" w:rsidR="001F7736" w:rsidRPr="00311B07" w:rsidRDefault="001F7736" w:rsidP="00A370E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27–28 березня 2018 року – візит рейтингового агентства Standard &amp; </w:t>
      </w:r>
      <w:proofErr w:type="spellStart"/>
      <w:r w:rsidRPr="00311B07">
        <w:rPr>
          <w:rFonts w:ascii="Times New Roman" w:eastAsia="Times New Roman" w:hAnsi="Times New Roman" w:cs="Times New Roman"/>
          <w:sz w:val="28"/>
          <w:szCs w:val="28"/>
        </w:rPr>
        <w:t>Poor’s</w:t>
      </w:r>
      <w:proofErr w:type="spellEnd"/>
      <w:r w:rsidRPr="00311B07">
        <w:rPr>
          <w:rFonts w:ascii="Times New Roman" w:eastAsia="Times New Roman" w:hAnsi="Times New Roman" w:cs="Times New Roman"/>
          <w:sz w:val="28"/>
          <w:szCs w:val="28"/>
        </w:rPr>
        <w:t>;</w:t>
      </w:r>
    </w:p>
    <w:p w14:paraId="3CD23539" w14:textId="77777777" w:rsidR="001F7736" w:rsidRPr="00311B07" w:rsidRDefault="001F7736" w:rsidP="00A370E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23–24 липня </w:t>
      </w:r>
      <w:r w:rsidR="006B1C84" w:rsidRPr="00311B07">
        <w:rPr>
          <w:rFonts w:ascii="Times New Roman" w:eastAsia="Times New Roman" w:hAnsi="Times New Roman" w:cs="Times New Roman"/>
          <w:sz w:val="28"/>
          <w:szCs w:val="28"/>
        </w:rPr>
        <w:t xml:space="preserve">2018 </w:t>
      </w:r>
      <w:r w:rsidRPr="00311B07">
        <w:rPr>
          <w:rFonts w:ascii="Times New Roman" w:eastAsia="Times New Roman" w:hAnsi="Times New Roman" w:cs="Times New Roman"/>
          <w:sz w:val="28"/>
          <w:szCs w:val="28"/>
        </w:rPr>
        <w:t xml:space="preserve">року – візит рейтингового агентства </w:t>
      </w:r>
      <w:proofErr w:type="spellStart"/>
      <w:r w:rsidRPr="00311B07">
        <w:rPr>
          <w:rFonts w:ascii="Times New Roman" w:eastAsia="Times New Roman" w:hAnsi="Times New Roman" w:cs="Times New Roman"/>
          <w:sz w:val="28"/>
          <w:szCs w:val="28"/>
        </w:rPr>
        <w:t>Moody’s</w:t>
      </w:r>
      <w:proofErr w:type="spellEnd"/>
      <w:r w:rsidRPr="00311B07">
        <w:rPr>
          <w:rFonts w:ascii="Times New Roman" w:eastAsia="Times New Roman" w:hAnsi="Times New Roman" w:cs="Times New Roman"/>
          <w:sz w:val="28"/>
          <w:szCs w:val="28"/>
        </w:rPr>
        <w:t xml:space="preserve"> </w:t>
      </w:r>
      <w:proofErr w:type="spellStart"/>
      <w:r w:rsidRPr="00311B07">
        <w:rPr>
          <w:rFonts w:ascii="Times New Roman" w:eastAsia="Times New Roman" w:hAnsi="Times New Roman" w:cs="Times New Roman"/>
          <w:sz w:val="28"/>
          <w:szCs w:val="28"/>
        </w:rPr>
        <w:t>Investor</w:t>
      </w:r>
      <w:proofErr w:type="spellEnd"/>
      <w:r w:rsidRPr="00311B07">
        <w:rPr>
          <w:rFonts w:ascii="Times New Roman" w:eastAsia="Times New Roman" w:hAnsi="Times New Roman" w:cs="Times New Roman"/>
          <w:sz w:val="28"/>
          <w:szCs w:val="28"/>
        </w:rPr>
        <w:t xml:space="preserve"> </w:t>
      </w:r>
      <w:proofErr w:type="spellStart"/>
      <w:r w:rsidRPr="00311B07">
        <w:rPr>
          <w:rFonts w:ascii="Times New Roman" w:eastAsia="Times New Roman" w:hAnsi="Times New Roman" w:cs="Times New Roman"/>
          <w:sz w:val="28"/>
          <w:szCs w:val="28"/>
        </w:rPr>
        <w:t>Service</w:t>
      </w:r>
      <w:proofErr w:type="spellEnd"/>
      <w:r w:rsidRPr="00311B07">
        <w:rPr>
          <w:rFonts w:ascii="Times New Roman" w:eastAsia="Times New Roman" w:hAnsi="Times New Roman" w:cs="Times New Roman"/>
          <w:sz w:val="28"/>
          <w:szCs w:val="28"/>
        </w:rPr>
        <w:t>;</w:t>
      </w:r>
    </w:p>
    <w:p w14:paraId="67508F5D" w14:textId="77777777" w:rsidR="001F7736" w:rsidRPr="00311B07" w:rsidRDefault="001F7736" w:rsidP="00A370E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01–03 жовтня 2018 року – візит рейтингового агентства </w:t>
      </w:r>
      <w:proofErr w:type="spellStart"/>
      <w:r w:rsidRPr="00311B07">
        <w:rPr>
          <w:rFonts w:ascii="Times New Roman" w:eastAsia="Times New Roman" w:hAnsi="Times New Roman" w:cs="Times New Roman"/>
          <w:sz w:val="28"/>
          <w:szCs w:val="28"/>
        </w:rPr>
        <w:t>Fitch</w:t>
      </w:r>
      <w:proofErr w:type="spellEnd"/>
      <w:r w:rsidRPr="00311B07">
        <w:rPr>
          <w:rFonts w:ascii="Times New Roman" w:eastAsia="Times New Roman" w:hAnsi="Times New Roman" w:cs="Times New Roman"/>
          <w:sz w:val="28"/>
          <w:szCs w:val="28"/>
        </w:rPr>
        <w:t xml:space="preserve"> </w:t>
      </w:r>
      <w:proofErr w:type="spellStart"/>
      <w:r w:rsidRPr="00311B07">
        <w:rPr>
          <w:rFonts w:ascii="Times New Roman" w:eastAsia="Times New Roman" w:hAnsi="Times New Roman" w:cs="Times New Roman"/>
          <w:sz w:val="28"/>
          <w:szCs w:val="28"/>
        </w:rPr>
        <w:t>Ratings</w:t>
      </w:r>
      <w:proofErr w:type="spellEnd"/>
      <w:r w:rsidRPr="00311B07">
        <w:rPr>
          <w:rFonts w:ascii="Times New Roman" w:eastAsia="Times New Roman" w:hAnsi="Times New Roman" w:cs="Times New Roman"/>
          <w:sz w:val="28"/>
          <w:szCs w:val="28"/>
        </w:rPr>
        <w:t>.</w:t>
      </w:r>
    </w:p>
    <w:p w14:paraId="1898E3D0" w14:textId="1DE1D861" w:rsidR="001F7736" w:rsidRDefault="001F7736" w:rsidP="000545FD">
      <w:pPr>
        <w:tabs>
          <w:tab w:val="left" w:pos="709"/>
        </w:tabs>
        <w:spacing w:after="80" w:line="240" w:lineRule="auto"/>
        <w:ind w:right="-1" w:firstLine="709"/>
        <w:jc w:val="both"/>
        <w:rPr>
          <w:rFonts w:ascii="Times New Roman" w:hAnsi="Times New Roman"/>
          <w:sz w:val="28"/>
          <w:szCs w:val="28"/>
        </w:rPr>
      </w:pPr>
      <w:r w:rsidRPr="00311B07">
        <w:rPr>
          <w:rFonts w:ascii="Times New Roman" w:hAnsi="Times New Roman"/>
          <w:sz w:val="28"/>
          <w:szCs w:val="28"/>
        </w:rPr>
        <w:t xml:space="preserve">Також Мінфіном протягом 2018 року на постійній основі готувалися та надавалися роз’яснення аналітикам міжнародних рейтингових агентств відповідно до запитів, що надходили, а також статистичні та аналітичні дані щодо соціально-економічного та політичного становища України. </w:t>
      </w:r>
    </w:p>
    <w:p w14:paraId="3C687429" w14:textId="77777777" w:rsidR="00BC7304" w:rsidRPr="00311B07" w:rsidRDefault="00BC7304" w:rsidP="00F1586C">
      <w:pPr>
        <w:pStyle w:val="1"/>
        <w:numPr>
          <w:ilvl w:val="0"/>
          <w:numId w:val="15"/>
        </w:numPr>
        <w:rPr>
          <w:b w:val="0"/>
          <w:color w:val="365F91" w:themeColor="accent1" w:themeShade="BF"/>
        </w:rPr>
      </w:pPr>
      <w:r w:rsidRPr="00311B07">
        <w:rPr>
          <w:color w:val="365F91" w:themeColor="accent1" w:themeShade="BF"/>
        </w:rPr>
        <w:t xml:space="preserve">Інші аспекти управління </w:t>
      </w:r>
      <w:r w:rsidR="00C72074" w:rsidRPr="00311B07">
        <w:rPr>
          <w:color w:val="365F91" w:themeColor="accent1" w:themeShade="BF"/>
        </w:rPr>
        <w:t>д</w:t>
      </w:r>
      <w:r w:rsidRPr="00311B07">
        <w:rPr>
          <w:color w:val="365F91" w:themeColor="accent1" w:themeShade="BF"/>
        </w:rPr>
        <w:t>ержавним боргом</w:t>
      </w:r>
    </w:p>
    <w:p w14:paraId="0E3D1B52" w14:textId="77777777" w:rsidR="00F1586C" w:rsidRPr="00311B07" w:rsidRDefault="00F1586C" w:rsidP="00F1586C">
      <w:pPr>
        <w:shd w:val="clear" w:color="auto" w:fill="FFFFFF"/>
        <w:spacing w:after="80" w:line="240" w:lineRule="auto"/>
        <w:ind w:firstLine="567"/>
        <w:jc w:val="both"/>
        <w:rPr>
          <w:rFonts w:ascii="Times New Roman" w:eastAsia="Times New Roman" w:hAnsi="Times New Roman" w:cs="Times New Roman"/>
          <w:sz w:val="28"/>
          <w:szCs w:val="28"/>
        </w:rPr>
      </w:pPr>
      <w:r w:rsidRPr="00311B07">
        <w:rPr>
          <w:rFonts w:ascii="Times New Roman" w:eastAsia="Times New Roman" w:hAnsi="Times New Roman" w:cs="Times New Roman"/>
          <w:sz w:val="28"/>
          <w:szCs w:val="28"/>
        </w:rPr>
        <w:t xml:space="preserve">У 2018 році здійснено низку заходів, спрямованих на удосконалення нормативно-правової бази та механізмів управління державним боргом, в тому числі щодо середньострокового бюджетного планування та </w:t>
      </w:r>
      <w:r w:rsidR="006766F3">
        <w:rPr>
          <w:rFonts w:ascii="Times New Roman" w:eastAsia="Times New Roman" w:hAnsi="Times New Roman" w:cs="Times New Roman"/>
          <w:sz w:val="28"/>
          <w:szCs w:val="28"/>
        </w:rPr>
        <w:t xml:space="preserve">можливості </w:t>
      </w:r>
      <w:r w:rsidRPr="00311B07">
        <w:rPr>
          <w:rFonts w:ascii="Times New Roman" w:eastAsia="Times New Roman" w:hAnsi="Times New Roman" w:cs="Times New Roman"/>
          <w:sz w:val="28"/>
          <w:szCs w:val="28"/>
        </w:rPr>
        <w:t xml:space="preserve">розміщення тимчасово вільних коштів місцевих бюджетів шляхом придбання державних цінних паперів. </w:t>
      </w:r>
    </w:p>
    <w:p w14:paraId="594DC4C5" w14:textId="77777777" w:rsidR="00704365" w:rsidRPr="00311B07" w:rsidRDefault="00403FAD" w:rsidP="000545FD">
      <w:pPr>
        <w:pStyle w:val="a4"/>
        <w:spacing w:before="0" w:beforeAutospacing="0" w:after="80" w:afterAutospacing="0"/>
        <w:ind w:right="-1" w:firstLine="709"/>
        <w:jc w:val="both"/>
        <w:rPr>
          <w:sz w:val="28"/>
          <w:szCs w:val="28"/>
        </w:rPr>
      </w:pPr>
      <w:r w:rsidRPr="00311B07">
        <w:rPr>
          <w:sz w:val="28"/>
          <w:szCs w:val="28"/>
        </w:rPr>
        <w:t>Мінфіном разом з експертами Світового банку змінено підходи до проведення аукціонів шляхом збільшення обсягів випуску кожного інструменту до ліквідного об'єму; запроваджені щотижневі консультації з первинними дилерами щодо попиту на ОВДП, в результаті яких відбувається коригування графіку розміщення ОВДП. Такі підходи забезпечують прозорість та передбачуваність дій емітента на внутрішньому ринку державних цінних паперів, що сприяє збільшенню довіри інвесторів, у тому числі іноземних.</w:t>
      </w:r>
      <w:r w:rsidR="003904DC" w:rsidRPr="00311B07">
        <w:rPr>
          <w:sz w:val="28"/>
          <w:szCs w:val="28"/>
        </w:rPr>
        <w:t xml:space="preserve"> </w:t>
      </w:r>
    </w:p>
    <w:p w14:paraId="1782AB4F" w14:textId="77777777" w:rsidR="002F77F0" w:rsidRPr="00311B07" w:rsidRDefault="002F77F0" w:rsidP="00311B07">
      <w:pPr>
        <w:spacing w:after="80" w:line="240" w:lineRule="auto"/>
        <w:ind w:firstLine="708"/>
        <w:jc w:val="both"/>
        <w:rPr>
          <w:rFonts w:ascii="Times New Roman" w:hAnsi="Times New Roman" w:cs="Times New Roman"/>
          <w:sz w:val="28"/>
        </w:rPr>
      </w:pPr>
      <w:r w:rsidRPr="00311B07">
        <w:rPr>
          <w:rFonts w:ascii="Times New Roman" w:hAnsi="Times New Roman" w:cs="Times New Roman"/>
          <w:sz w:val="28"/>
          <w:szCs w:val="28"/>
        </w:rPr>
        <w:lastRenderedPageBreak/>
        <w:t xml:space="preserve">Мінфіном </w:t>
      </w:r>
      <w:r w:rsidR="006F1CA0" w:rsidRPr="00311B07">
        <w:rPr>
          <w:rFonts w:ascii="Times New Roman" w:hAnsi="Times New Roman" w:cs="Times New Roman"/>
          <w:sz w:val="28"/>
          <w:szCs w:val="28"/>
        </w:rPr>
        <w:t>проведено роботу із забезпечення повноцінного доступу України на міжнародні ринки капіталу, в тому числі здійсн</w:t>
      </w:r>
      <w:r w:rsidR="00BE1BDC" w:rsidRPr="00311B07">
        <w:rPr>
          <w:rFonts w:ascii="Times New Roman" w:hAnsi="Times New Roman" w:cs="Times New Roman"/>
          <w:sz w:val="28"/>
          <w:szCs w:val="28"/>
        </w:rPr>
        <w:t>ено</w:t>
      </w:r>
      <w:r w:rsidRPr="00311B07">
        <w:rPr>
          <w:rFonts w:ascii="Times New Roman" w:hAnsi="Times New Roman" w:cs="Times New Roman"/>
          <w:sz w:val="28"/>
          <w:szCs w:val="28"/>
        </w:rPr>
        <w:t xml:space="preserve"> </w:t>
      </w:r>
      <w:r w:rsidR="006F1CA0" w:rsidRPr="00311B07">
        <w:rPr>
          <w:rFonts w:ascii="Times New Roman" w:hAnsi="Times New Roman" w:cs="Times New Roman"/>
          <w:sz w:val="28"/>
          <w:szCs w:val="28"/>
        </w:rPr>
        <w:t>заходи для зміцнення відносин та підвищення прозорості комунікацій з учасниками ринку</w:t>
      </w:r>
      <w:r w:rsidR="00BA04E1" w:rsidRPr="00311B07">
        <w:rPr>
          <w:rFonts w:ascii="Times New Roman" w:hAnsi="Times New Roman" w:cs="Times New Roman"/>
          <w:sz w:val="28"/>
          <w:szCs w:val="28"/>
        </w:rPr>
        <w:t>, оновлен</w:t>
      </w:r>
      <w:r w:rsidR="00BE1BDC" w:rsidRPr="00311B07">
        <w:rPr>
          <w:rFonts w:ascii="Times New Roman" w:hAnsi="Times New Roman" w:cs="Times New Roman"/>
          <w:sz w:val="28"/>
          <w:szCs w:val="28"/>
        </w:rPr>
        <w:t>о</w:t>
      </w:r>
      <w:r w:rsidR="00BA04E1" w:rsidRPr="00311B07">
        <w:rPr>
          <w:rFonts w:ascii="Times New Roman" w:hAnsi="Times New Roman" w:cs="Times New Roman"/>
          <w:sz w:val="28"/>
          <w:szCs w:val="28"/>
        </w:rPr>
        <w:t xml:space="preserve"> відповідн</w:t>
      </w:r>
      <w:r w:rsidR="00BE1BDC" w:rsidRPr="00311B07">
        <w:rPr>
          <w:rFonts w:ascii="Times New Roman" w:hAnsi="Times New Roman" w:cs="Times New Roman"/>
          <w:sz w:val="28"/>
          <w:szCs w:val="28"/>
        </w:rPr>
        <w:t>ий</w:t>
      </w:r>
      <w:r w:rsidR="00BA04E1" w:rsidRPr="00311B07">
        <w:rPr>
          <w:rFonts w:ascii="Times New Roman" w:hAnsi="Times New Roman" w:cs="Times New Roman"/>
          <w:sz w:val="28"/>
          <w:szCs w:val="28"/>
        </w:rPr>
        <w:t xml:space="preserve"> розділ веб-сайту Мінфіну</w:t>
      </w:r>
      <w:r w:rsidR="00BE1BDC" w:rsidRPr="00311B07">
        <w:rPr>
          <w:rFonts w:ascii="Times New Roman" w:hAnsi="Times New Roman" w:cs="Times New Roman"/>
          <w:sz w:val="28"/>
          <w:szCs w:val="28"/>
        </w:rPr>
        <w:t xml:space="preserve"> та забезпечено зворотній зв’язок з інвесторами</w:t>
      </w:r>
      <w:r w:rsidRPr="00311B07">
        <w:rPr>
          <w:rFonts w:ascii="Times New Roman" w:hAnsi="Times New Roman" w:cs="Times New Roman"/>
          <w:sz w:val="28"/>
          <w:szCs w:val="28"/>
        </w:rPr>
        <w:t>. Також здійснено виїзн</w:t>
      </w:r>
      <w:r w:rsidR="006F1CA0" w:rsidRPr="00311B07">
        <w:rPr>
          <w:rFonts w:ascii="Times New Roman" w:hAnsi="Times New Roman" w:cs="Times New Roman"/>
          <w:sz w:val="28"/>
          <w:szCs w:val="28"/>
        </w:rPr>
        <w:t xml:space="preserve">і зустрічі </w:t>
      </w:r>
      <w:r w:rsidR="00BE1BDC" w:rsidRPr="00311B07">
        <w:rPr>
          <w:rFonts w:ascii="Times New Roman" w:hAnsi="Times New Roman" w:cs="Times New Roman"/>
          <w:sz w:val="28"/>
          <w:szCs w:val="28"/>
        </w:rPr>
        <w:t xml:space="preserve">з міжнародними інвесторами </w:t>
      </w:r>
      <w:r w:rsidR="006F1CA0" w:rsidRPr="00311B07">
        <w:rPr>
          <w:rFonts w:ascii="Times New Roman" w:hAnsi="Times New Roman" w:cs="Times New Roman"/>
          <w:sz w:val="28"/>
          <w:szCs w:val="28"/>
        </w:rPr>
        <w:t>(</w:t>
      </w:r>
      <w:proofErr w:type="spellStart"/>
      <w:r w:rsidR="006F1CA0" w:rsidRPr="00311B07">
        <w:rPr>
          <w:rFonts w:ascii="Times New Roman" w:hAnsi="Times New Roman" w:cs="Times New Roman"/>
          <w:sz w:val="28"/>
          <w:szCs w:val="28"/>
        </w:rPr>
        <w:t>non-deal</w:t>
      </w:r>
      <w:proofErr w:type="spellEnd"/>
      <w:r w:rsidR="006F1CA0" w:rsidRPr="00311B07">
        <w:rPr>
          <w:rFonts w:ascii="Times New Roman" w:hAnsi="Times New Roman" w:cs="Times New Roman"/>
          <w:sz w:val="28"/>
          <w:szCs w:val="28"/>
        </w:rPr>
        <w:t xml:space="preserve"> </w:t>
      </w:r>
      <w:proofErr w:type="spellStart"/>
      <w:r w:rsidR="006F1CA0" w:rsidRPr="00311B07">
        <w:rPr>
          <w:rFonts w:ascii="Times New Roman" w:hAnsi="Times New Roman" w:cs="Times New Roman"/>
          <w:sz w:val="28"/>
          <w:szCs w:val="28"/>
        </w:rPr>
        <w:t>roadshow</w:t>
      </w:r>
      <w:proofErr w:type="spellEnd"/>
      <w:r w:rsidR="006F1CA0" w:rsidRPr="00311B07">
        <w:rPr>
          <w:rFonts w:ascii="Times New Roman" w:hAnsi="Times New Roman" w:cs="Times New Roman"/>
          <w:sz w:val="28"/>
          <w:szCs w:val="28"/>
        </w:rPr>
        <w:t xml:space="preserve">) </w:t>
      </w:r>
      <w:r w:rsidR="00BE1BDC" w:rsidRPr="00311B07">
        <w:rPr>
          <w:rFonts w:ascii="Times New Roman" w:hAnsi="Times New Roman" w:cs="Times New Roman"/>
          <w:sz w:val="28"/>
          <w:szCs w:val="28"/>
        </w:rPr>
        <w:t>країнами Європи</w:t>
      </w:r>
      <w:r w:rsidRPr="00311B07">
        <w:rPr>
          <w:rFonts w:ascii="Times New Roman" w:hAnsi="Times New Roman" w:cs="Times New Roman"/>
          <w:sz w:val="28"/>
          <w:szCs w:val="28"/>
        </w:rPr>
        <w:t xml:space="preserve"> з метою підвищення інвестиційної привабливості та розширення кола інвесторів в економіку країни.</w:t>
      </w:r>
      <w:r w:rsidRPr="00311B07">
        <w:rPr>
          <w:rFonts w:ascii="Times New Roman" w:hAnsi="Times New Roman" w:cs="Times New Roman"/>
          <w:sz w:val="28"/>
        </w:rPr>
        <w:t xml:space="preserve"> Інститут міжнародних фінансів (</w:t>
      </w:r>
      <w:proofErr w:type="spellStart"/>
      <w:r w:rsidRPr="00311B07">
        <w:rPr>
          <w:rFonts w:ascii="Times New Roman" w:hAnsi="Times New Roman" w:cs="Times New Roman"/>
          <w:sz w:val="28"/>
        </w:rPr>
        <w:t>Institute</w:t>
      </w:r>
      <w:proofErr w:type="spellEnd"/>
      <w:r w:rsidRPr="00311B07">
        <w:rPr>
          <w:rFonts w:ascii="Times New Roman" w:hAnsi="Times New Roman" w:cs="Times New Roman"/>
          <w:sz w:val="28"/>
        </w:rPr>
        <w:t xml:space="preserve"> </w:t>
      </w:r>
      <w:proofErr w:type="spellStart"/>
      <w:r w:rsidRPr="00311B07">
        <w:rPr>
          <w:rFonts w:ascii="Times New Roman" w:hAnsi="Times New Roman" w:cs="Times New Roman"/>
          <w:sz w:val="28"/>
        </w:rPr>
        <w:t>of</w:t>
      </w:r>
      <w:proofErr w:type="spellEnd"/>
      <w:r w:rsidRPr="00311B07">
        <w:rPr>
          <w:rFonts w:ascii="Times New Roman" w:hAnsi="Times New Roman" w:cs="Times New Roman"/>
          <w:sz w:val="28"/>
        </w:rPr>
        <w:t xml:space="preserve"> </w:t>
      </w:r>
      <w:proofErr w:type="spellStart"/>
      <w:r w:rsidRPr="00311B07">
        <w:rPr>
          <w:rFonts w:ascii="Times New Roman" w:hAnsi="Times New Roman" w:cs="Times New Roman"/>
          <w:sz w:val="28"/>
        </w:rPr>
        <w:t>International</w:t>
      </w:r>
      <w:proofErr w:type="spellEnd"/>
      <w:r w:rsidRPr="00311B07">
        <w:rPr>
          <w:rFonts w:ascii="Times New Roman" w:hAnsi="Times New Roman" w:cs="Times New Roman"/>
          <w:sz w:val="28"/>
        </w:rPr>
        <w:t xml:space="preserve"> </w:t>
      </w:r>
      <w:proofErr w:type="spellStart"/>
      <w:r w:rsidRPr="00311B07">
        <w:rPr>
          <w:rFonts w:ascii="Times New Roman" w:hAnsi="Times New Roman" w:cs="Times New Roman"/>
          <w:sz w:val="28"/>
        </w:rPr>
        <w:t>Finance</w:t>
      </w:r>
      <w:proofErr w:type="spellEnd"/>
      <w:r w:rsidRPr="00311B07">
        <w:rPr>
          <w:rFonts w:ascii="Times New Roman" w:hAnsi="Times New Roman" w:cs="Times New Roman"/>
          <w:sz w:val="28"/>
        </w:rPr>
        <w:t xml:space="preserve">, IIF) випустив щорічний рейтинг якості взаємодії суверенних емітентів із міжнародними портфельними інвесторами і визнав найбільший прогрес України </w:t>
      </w:r>
      <w:r w:rsidR="00BE1BDC" w:rsidRPr="00311B07">
        <w:rPr>
          <w:rFonts w:ascii="Times New Roman" w:hAnsi="Times New Roman" w:cs="Times New Roman"/>
          <w:sz w:val="28"/>
        </w:rPr>
        <w:t xml:space="preserve">в сфері відносин з інвесторами </w:t>
      </w:r>
      <w:r w:rsidR="009347FD" w:rsidRPr="00311B07">
        <w:rPr>
          <w:rFonts w:ascii="Times New Roman" w:hAnsi="Times New Roman" w:cs="Times New Roman"/>
          <w:sz w:val="28"/>
        </w:rPr>
        <w:t xml:space="preserve">та якості поширення даних суверенними емітентами </w:t>
      </w:r>
      <w:r w:rsidRPr="00311B07">
        <w:rPr>
          <w:rFonts w:ascii="Times New Roman" w:hAnsi="Times New Roman" w:cs="Times New Roman"/>
          <w:sz w:val="28"/>
        </w:rPr>
        <w:t>серед країн, що розвиваються</w:t>
      </w:r>
      <w:r w:rsidRPr="00311B07">
        <w:rPr>
          <w:sz w:val="28"/>
          <w:szCs w:val="28"/>
        </w:rPr>
        <w:t>.</w:t>
      </w:r>
    </w:p>
    <w:p w14:paraId="0AF2C534" w14:textId="74296CB2" w:rsidR="0013613D" w:rsidRPr="00311B07" w:rsidRDefault="0091267B" w:rsidP="000545FD">
      <w:pPr>
        <w:spacing w:after="80" w:line="240" w:lineRule="auto"/>
        <w:ind w:firstLine="708"/>
        <w:jc w:val="both"/>
        <w:rPr>
          <w:rFonts w:ascii="Times New Roman" w:hAnsi="Times New Roman"/>
          <w:sz w:val="28"/>
        </w:rPr>
      </w:pPr>
      <w:r w:rsidRPr="00311B07">
        <w:rPr>
          <w:rFonts w:ascii="Times New Roman" w:hAnsi="Times New Roman"/>
          <w:sz w:val="28"/>
        </w:rPr>
        <w:t>О</w:t>
      </w:r>
      <w:r w:rsidR="0032170F" w:rsidRPr="00311B07">
        <w:rPr>
          <w:rFonts w:ascii="Times New Roman" w:hAnsi="Times New Roman"/>
          <w:sz w:val="28"/>
        </w:rPr>
        <w:t>скільки нестабільна ситуація на зовнішніх ринках капіталу та відсутність прогресу у співпраці з МВФ не дали можливості Мінфіну у січні</w:t>
      </w:r>
      <w:r w:rsidR="00EC7FCB">
        <w:rPr>
          <w:rFonts w:ascii="Times New Roman" w:hAnsi="Times New Roman"/>
          <w:sz w:val="28"/>
        </w:rPr>
        <w:noBreakHyphen/>
      </w:r>
      <w:r w:rsidR="0032170F" w:rsidRPr="00311B07">
        <w:rPr>
          <w:rFonts w:ascii="Times New Roman" w:hAnsi="Times New Roman"/>
          <w:sz w:val="28"/>
        </w:rPr>
        <w:t>вересні</w:t>
      </w:r>
      <w:r w:rsidR="00EC7FCB">
        <w:rPr>
          <w:rFonts w:ascii="Times New Roman" w:hAnsi="Times New Roman"/>
          <w:sz w:val="28"/>
        </w:rPr>
        <w:t> </w:t>
      </w:r>
      <w:r w:rsidR="0032170F" w:rsidRPr="00311B07">
        <w:rPr>
          <w:rFonts w:ascii="Times New Roman" w:hAnsi="Times New Roman"/>
          <w:sz w:val="28"/>
        </w:rPr>
        <w:t>2018</w:t>
      </w:r>
      <w:r w:rsidR="00EC7FCB">
        <w:rPr>
          <w:rFonts w:ascii="Times New Roman" w:hAnsi="Times New Roman"/>
          <w:sz w:val="28"/>
        </w:rPr>
        <w:t> </w:t>
      </w:r>
      <w:r w:rsidR="0032170F" w:rsidRPr="00311B07">
        <w:rPr>
          <w:rFonts w:ascii="Times New Roman" w:hAnsi="Times New Roman"/>
          <w:sz w:val="28"/>
        </w:rPr>
        <w:t xml:space="preserve">року здійснити публічне розміщення ОЗДП в обсягах, </w:t>
      </w:r>
      <w:r w:rsidRPr="00311B07">
        <w:rPr>
          <w:rFonts w:ascii="Times New Roman" w:hAnsi="Times New Roman"/>
          <w:sz w:val="28"/>
        </w:rPr>
        <w:t>за</w:t>
      </w:r>
      <w:r w:rsidR="0032170F" w:rsidRPr="00311B07">
        <w:rPr>
          <w:rFonts w:ascii="Times New Roman" w:hAnsi="Times New Roman"/>
          <w:sz w:val="28"/>
        </w:rPr>
        <w:t>план</w:t>
      </w:r>
      <w:r w:rsidRPr="00311B07">
        <w:rPr>
          <w:rFonts w:ascii="Times New Roman" w:hAnsi="Times New Roman"/>
          <w:sz w:val="28"/>
        </w:rPr>
        <w:t>о</w:t>
      </w:r>
      <w:r w:rsidR="0032170F" w:rsidRPr="00311B07">
        <w:rPr>
          <w:rFonts w:ascii="Times New Roman" w:hAnsi="Times New Roman"/>
          <w:sz w:val="28"/>
        </w:rPr>
        <w:t>ва</w:t>
      </w:r>
      <w:r w:rsidRPr="00311B07">
        <w:rPr>
          <w:rFonts w:ascii="Times New Roman" w:hAnsi="Times New Roman"/>
          <w:sz w:val="28"/>
        </w:rPr>
        <w:t>них</w:t>
      </w:r>
      <w:r w:rsidR="0032170F" w:rsidRPr="00311B07">
        <w:rPr>
          <w:rFonts w:ascii="Times New Roman" w:hAnsi="Times New Roman"/>
          <w:sz w:val="28"/>
        </w:rPr>
        <w:t xml:space="preserve"> при формуванні держ</w:t>
      </w:r>
      <w:r w:rsidR="00C95CE4" w:rsidRPr="00311B07">
        <w:rPr>
          <w:rFonts w:ascii="Times New Roman" w:hAnsi="Times New Roman"/>
          <w:sz w:val="28"/>
        </w:rPr>
        <w:t xml:space="preserve">авного </w:t>
      </w:r>
      <w:r w:rsidR="0032170F" w:rsidRPr="00311B07">
        <w:rPr>
          <w:rFonts w:ascii="Times New Roman" w:hAnsi="Times New Roman"/>
          <w:sz w:val="28"/>
        </w:rPr>
        <w:t>бюджету на 2018 рік</w:t>
      </w:r>
      <w:r w:rsidRPr="00311B07">
        <w:rPr>
          <w:rFonts w:ascii="Times New Roman" w:hAnsi="Times New Roman"/>
          <w:sz w:val="28"/>
        </w:rPr>
        <w:t>, з</w:t>
      </w:r>
      <w:r w:rsidR="0032170F" w:rsidRPr="00311B07">
        <w:rPr>
          <w:rFonts w:ascii="Times New Roman" w:hAnsi="Times New Roman"/>
          <w:sz w:val="28"/>
        </w:rPr>
        <w:t xml:space="preserve"> метою покриття потреб у валютній ліквідності у серпні 2018 року було здійснено приватне розміщення короткострокових дисконтних ОЗДП загальною номінальною вартістю 725,0</w:t>
      </w:r>
      <w:r w:rsidR="000545FD" w:rsidRPr="00311B07">
        <w:rPr>
          <w:rFonts w:ascii="Times New Roman" w:hAnsi="Times New Roman"/>
          <w:sz w:val="28"/>
        </w:rPr>
        <w:t> </w:t>
      </w:r>
      <w:r w:rsidR="007C5214" w:rsidRPr="00311B07">
        <w:rPr>
          <w:rFonts w:ascii="Times New Roman" w:hAnsi="Times New Roman"/>
          <w:sz w:val="28"/>
        </w:rPr>
        <w:t>млн</w:t>
      </w:r>
      <w:r w:rsidR="0032170F" w:rsidRPr="00311B07">
        <w:rPr>
          <w:rFonts w:ascii="Times New Roman" w:hAnsi="Times New Roman"/>
          <w:sz w:val="28"/>
        </w:rPr>
        <w:t xml:space="preserve"> </w:t>
      </w:r>
      <w:proofErr w:type="spellStart"/>
      <w:r w:rsidR="0032170F" w:rsidRPr="00311B07">
        <w:rPr>
          <w:rFonts w:ascii="Times New Roman" w:hAnsi="Times New Roman"/>
          <w:sz w:val="28"/>
        </w:rPr>
        <w:t>дол</w:t>
      </w:r>
      <w:proofErr w:type="spellEnd"/>
      <w:r w:rsidR="0032170F" w:rsidRPr="00311B07">
        <w:rPr>
          <w:rFonts w:ascii="Times New Roman" w:hAnsi="Times New Roman"/>
          <w:sz w:val="28"/>
        </w:rPr>
        <w:t>. США.</w:t>
      </w:r>
    </w:p>
    <w:p w14:paraId="1E8404A7" w14:textId="77777777" w:rsidR="00B86E84" w:rsidRPr="00311B07" w:rsidRDefault="0032170F" w:rsidP="000545FD">
      <w:pPr>
        <w:spacing w:after="80" w:line="240" w:lineRule="auto"/>
        <w:ind w:firstLine="708"/>
        <w:jc w:val="both"/>
        <w:rPr>
          <w:rFonts w:ascii="Times New Roman" w:hAnsi="Times New Roman"/>
          <w:sz w:val="28"/>
          <w:szCs w:val="28"/>
        </w:rPr>
      </w:pPr>
      <w:r w:rsidRPr="00311B07">
        <w:rPr>
          <w:rFonts w:ascii="Times New Roman" w:hAnsi="Times New Roman"/>
          <w:sz w:val="28"/>
        </w:rPr>
        <w:t xml:space="preserve">25 жовтня здійснено державні зовнішні запозичення шляхом публічного розміщення довгострокових ОЗДП </w:t>
      </w:r>
      <w:r w:rsidR="0091267B" w:rsidRPr="00311B07">
        <w:rPr>
          <w:rFonts w:ascii="Times New Roman" w:hAnsi="Times New Roman"/>
          <w:sz w:val="28"/>
        </w:rPr>
        <w:t xml:space="preserve">номінальною вартістю 2 </w:t>
      </w:r>
      <w:r w:rsidR="007C5214" w:rsidRPr="00311B07">
        <w:rPr>
          <w:rFonts w:ascii="Times New Roman" w:hAnsi="Times New Roman"/>
          <w:sz w:val="28"/>
        </w:rPr>
        <w:t>млрд</w:t>
      </w:r>
      <w:r w:rsidR="0091267B" w:rsidRPr="00311B07">
        <w:rPr>
          <w:rFonts w:ascii="Times New Roman" w:hAnsi="Times New Roman"/>
          <w:sz w:val="28"/>
        </w:rPr>
        <w:t xml:space="preserve"> </w:t>
      </w:r>
      <w:proofErr w:type="spellStart"/>
      <w:r w:rsidR="0091267B" w:rsidRPr="00311B07">
        <w:rPr>
          <w:rFonts w:ascii="Times New Roman" w:hAnsi="Times New Roman"/>
          <w:sz w:val="28"/>
        </w:rPr>
        <w:t>дол</w:t>
      </w:r>
      <w:proofErr w:type="spellEnd"/>
      <w:r w:rsidR="0091267B" w:rsidRPr="00311B07">
        <w:rPr>
          <w:rFonts w:ascii="Times New Roman" w:hAnsi="Times New Roman"/>
          <w:sz w:val="28"/>
        </w:rPr>
        <w:t>. США</w:t>
      </w:r>
      <w:r w:rsidRPr="00311B07">
        <w:rPr>
          <w:rFonts w:ascii="Times New Roman" w:hAnsi="Times New Roman"/>
          <w:sz w:val="28"/>
        </w:rPr>
        <w:t xml:space="preserve"> (</w:t>
      </w:r>
      <w:r w:rsidR="00C95CE4" w:rsidRPr="00311B07">
        <w:rPr>
          <w:rFonts w:ascii="Times New Roman" w:hAnsi="Times New Roman"/>
          <w:sz w:val="28"/>
        </w:rPr>
        <w:t xml:space="preserve">за </w:t>
      </w:r>
      <w:r w:rsidRPr="00311B07">
        <w:rPr>
          <w:rFonts w:ascii="Times New Roman" w:hAnsi="Times New Roman"/>
          <w:sz w:val="28"/>
        </w:rPr>
        <w:t>ставк</w:t>
      </w:r>
      <w:r w:rsidR="00C95CE4" w:rsidRPr="00311B07">
        <w:rPr>
          <w:rFonts w:ascii="Times New Roman" w:hAnsi="Times New Roman"/>
          <w:sz w:val="28"/>
        </w:rPr>
        <w:t>ою</w:t>
      </w:r>
      <w:r w:rsidRPr="00311B07">
        <w:rPr>
          <w:rFonts w:ascii="Times New Roman" w:hAnsi="Times New Roman"/>
          <w:sz w:val="28"/>
        </w:rPr>
        <w:t xml:space="preserve"> 8,994% на 5 років та 9,75% на 10 років)</w:t>
      </w:r>
      <w:r w:rsidR="0091267B" w:rsidRPr="00311B07">
        <w:rPr>
          <w:rFonts w:ascii="Times New Roman" w:hAnsi="Times New Roman"/>
          <w:sz w:val="28"/>
        </w:rPr>
        <w:t>, що дало можливість</w:t>
      </w:r>
      <w:r w:rsidRPr="00311B07">
        <w:rPr>
          <w:rFonts w:ascii="Times New Roman" w:hAnsi="Times New Roman"/>
          <w:sz w:val="28"/>
        </w:rPr>
        <w:t xml:space="preserve"> залуч</w:t>
      </w:r>
      <w:r w:rsidR="0091267B" w:rsidRPr="00311B07">
        <w:rPr>
          <w:rFonts w:ascii="Times New Roman" w:hAnsi="Times New Roman"/>
          <w:sz w:val="28"/>
        </w:rPr>
        <w:t>ити</w:t>
      </w:r>
      <w:r w:rsidRPr="00311B07">
        <w:rPr>
          <w:rFonts w:ascii="Times New Roman" w:hAnsi="Times New Roman"/>
          <w:sz w:val="28"/>
        </w:rPr>
        <w:t xml:space="preserve"> фінансування д</w:t>
      </w:r>
      <w:r w:rsidR="0091267B" w:rsidRPr="00311B07">
        <w:rPr>
          <w:rFonts w:ascii="Times New Roman" w:hAnsi="Times New Roman"/>
          <w:sz w:val="28"/>
        </w:rPr>
        <w:t>о</w:t>
      </w:r>
      <w:r w:rsidRPr="00311B07">
        <w:rPr>
          <w:rFonts w:ascii="Times New Roman" w:hAnsi="Times New Roman"/>
          <w:sz w:val="28"/>
        </w:rPr>
        <w:t xml:space="preserve"> </w:t>
      </w:r>
      <w:r w:rsidR="0091267B" w:rsidRPr="00311B07">
        <w:rPr>
          <w:rFonts w:ascii="Times New Roman" w:hAnsi="Times New Roman"/>
          <w:sz w:val="28"/>
        </w:rPr>
        <w:t xml:space="preserve">державного </w:t>
      </w:r>
      <w:r w:rsidRPr="00311B07">
        <w:rPr>
          <w:rFonts w:ascii="Times New Roman" w:hAnsi="Times New Roman"/>
          <w:sz w:val="28"/>
        </w:rPr>
        <w:t>бюджету з одночасним погашенням короткостроков</w:t>
      </w:r>
      <w:r w:rsidR="001E01E5" w:rsidRPr="00311B07">
        <w:rPr>
          <w:rFonts w:ascii="Times New Roman" w:hAnsi="Times New Roman"/>
          <w:sz w:val="28"/>
        </w:rPr>
        <w:t>их</w:t>
      </w:r>
      <w:r w:rsidRPr="00311B07">
        <w:rPr>
          <w:rFonts w:ascii="Times New Roman" w:hAnsi="Times New Roman"/>
          <w:sz w:val="28"/>
        </w:rPr>
        <w:t xml:space="preserve"> </w:t>
      </w:r>
      <w:r w:rsidR="001E01E5" w:rsidRPr="00311B07">
        <w:rPr>
          <w:rFonts w:ascii="Times New Roman" w:hAnsi="Times New Roman"/>
          <w:sz w:val="28"/>
        </w:rPr>
        <w:t>цінних паперів</w:t>
      </w:r>
      <w:r w:rsidRPr="00311B07">
        <w:rPr>
          <w:rFonts w:ascii="Times New Roman" w:hAnsi="Times New Roman"/>
          <w:sz w:val="28"/>
        </w:rPr>
        <w:t xml:space="preserve">, </w:t>
      </w:r>
      <w:r w:rsidR="00294510" w:rsidRPr="00311B07">
        <w:rPr>
          <w:rFonts w:ascii="Times New Roman" w:hAnsi="Times New Roman"/>
          <w:sz w:val="28"/>
        </w:rPr>
        <w:t>які було розміщено у серпні</w:t>
      </w:r>
      <w:r w:rsidR="00CB4375" w:rsidRPr="00311B07">
        <w:rPr>
          <w:rFonts w:ascii="Times New Roman" w:hAnsi="Times New Roman"/>
          <w:sz w:val="28"/>
        </w:rPr>
        <w:t xml:space="preserve"> 2018 року</w:t>
      </w:r>
      <w:r w:rsidRPr="00311B07">
        <w:rPr>
          <w:rFonts w:ascii="Times New Roman" w:hAnsi="Times New Roman"/>
          <w:sz w:val="28"/>
        </w:rPr>
        <w:t>.</w:t>
      </w:r>
      <w:r w:rsidR="0091267B" w:rsidRPr="00311B07">
        <w:rPr>
          <w:rFonts w:ascii="Times New Roman" w:hAnsi="Times New Roman"/>
          <w:sz w:val="28"/>
        </w:rPr>
        <w:t xml:space="preserve"> </w:t>
      </w:r>
      <w:r w:rsidR="00DE2AA2" w:rsidRPr="00311B07">
        <w:rPr>
          <w:rFonts w:ascii="Times New Roman" w:hAnsi="Times New Roman"/>
          <w:sz w:val="28"/>
        </w:rPr>
        <w:t>0</w:t>
      </w:r>
      <w:r w:rsidRPr="00311B07">
        <w:rPr>
          <w:rFonts w:ascii="Times New Roman" w:hAnsi="Times New Roman"/>
          <w:sz w:val="28"/>
        </w:rPr>
        <w:t>1</w:t>
      </w:r>
      <w:r w:rsidR="000545FD" w:rsidRPr="00311B07">
        <w:rPr>
          <w:rFonts w:ascii="Times New Roman" w:hAnsi="Times New Roman"/>
          <w:sz w:val="28"/>
        </w:rPr>
        <w:t> </w:t>
      </w:r>
      <w:r w:rsidRPr="00311B07">
        <w:rPr>
          <w:rFonts w:ascii="Times New Roman" w:hAnsi="Times New Roman"/>
          <w:sz w:val="28"/>
        </w:rPr>
        <w:t>листопада на валютні рахунки Держказначейства надійшло 1285,5</w:t>
      </w:r>
      <w:r w:rsidR="000545FD" w:rsidRPr="00311B07">
        <w:rPr>
          <w:rFonts w:ascii="Times New Roman" w:hAnsi="Times New Roman"/>
          <w:sz w:val="28"/>
        </w:rPr>
        <w:t> </w:t>
      </w:r>
      <w:r w:rsidR="007C5214" w:rsidRPr="00311B07">
        <w:rPr>
          <w:rFonts w:ascii="Times New Roman" w:hAnsi="Times New Roman"/>
          <w:sz w:val="28"/>
        </w:rPr>
        <w:t>млн</w:t>
      </w:r>
      <w:r w:rsidR="000545FD" w:rsidRPr="00311B07">
        <w:rPr>
          <w:rFonts w:ascii="Times New Roman" w:hAnsi="Times New Roman"/>
          <w:sz w:val="28"/>
        </w:rPr>
        <w:t> </w:t>
      </w:r>
      <w:proofErr w:type="spellStart"/>
      <w:r w:rsidRPr="00311B07">
        <w:rPr>
          <w:rFonts w:ascii="Times New Roman" w:hAnsi="Times New Roman"/>
          <w:sz w:val="28"/>
        </w:rPr>
        <w:t>дол</w:t>
      </w:r>
      <w:proofErr w:type="spellEnd"/>
      <w:r w:rsidRPr="00311B07">
        <w:rPr>
          <w:rFonts w:ascii="Times New Roman" w:hAnsi="Times New Roman"/>
          <w:sz w:val="28"/>
        </w:rPr>
        <w:t>.</w:t>
      </w:r>
      <w:r w:rsidR="000545FD" w:rsidRPr="00311B07">
        <w:rPr>
          <w:rFonts w:ascii="Times New Roman" w:hAnsi="Times New Roman"/>
          <w:sz w:val="28"/>
        </w:rPr>
        <w:t> </w:t>
      </w:r>
      <w:r w:rsidRPr="00311B07">
        <w:rPr>
          <w:rFonts w:ascii="Times New Roman" w:hAnsi="Times New Roman"/>
          <w:sz w:val="28"/>
        </w:rPr>
        <w:t>США.</w:t>
      </w:r>
      <w:r w:rsidR="0091267B" w:rsidRPr="00311B07">
        <w:rPr>
          <w:rFonts w:ascii="Times New Roman" w:hAnsi="Times New Roman"/>
          <w:sz w:val="28"/>
        </w:rPr>
        <w:t xml:space="preserve"> </w:t>
      </w:r>
      <w:r w:rsidR="001E01E5" w:rsidRPr="00311B07">
        <w:rPr>
          <w:rFonts w:ascii="Times New Roman" w:hAnsi="Times New Roman"/>
          <w:sz w:val="28"/>
        </w:rPr>
        <w:t xml:space="preserve">Цей </w:t>
      </w:r>
      <w:r w:rsidRPr="00311B07">
        <w:rPr>
          <w:rFonts w:ascii="Times New Roman" w:hAnsi="Times New Roman"/>
          <w:sz w:val="28"/>
        </w:rPr>
        <w:t>запас валютної ліквідності був достатнім для покриття платежів за державним та гарантованим державою боргом в іноземній валюті до кінця січня 2019 року.</w:t>
      </w:r>
    </w:p>
    <w:p w14:paraId="49B34D50" w14:textId="77777777" w:rsidR="0001480F" w:rsidRPr="00311B07" w:rsidRDefault="0091267B" w:rsidP="000545FD">
      <w:pPr>
        <w:spacing w:after="80" w:line="240" w:lineRule="auto"/>
        <w:ind w:firstLine="708"/>
        <w:jc w:val="both"/>
        <w:rPr>
          <w:rFonts w:ascii="Times New Roman" w:hAnsi="Times New Roman"/>
          <w:sz w:val="28"/>
          <w:lang w:val="ru-RU"/>
        </w:rPr>
      </w:pPr>
      <w:r w:rsidRPr="00311B07">
        <w:rPr>
          <w:rFonts w:ascii="Times New Roman" w:hAnsi="Times New Roman"/>
          <w:sz w:val="28"/>
        </w:rPr>
        <w:t>Н</w:t>
      </w:r>
      <w:r w:rsidR="0001480F" w:rsidRPr="00311B07">
        <w:rPr>
          <w:rFonts w:ascii="Times New Roman" w:hAnsi="Times New Roman"/>
          <w:sz w:val="28"/>
        </w:rPr>
        <w:t xml:space="preserve">а кінець </w:t>
      </w:r>
      <w:r w:rsidR="00CF1F8B" w:rsidRPr="00311B07">
        <w:rPr>
          <w:rFonts w:ascii="Times New Roman" w:hAnsi="Times New Roman"/>
          <w:sz w:val="28"/>
        </w:rPr>
        <w:t>2018</w:t>
      </w:r>
      <w:r w:rsidR="0001480F" w:rsidRPr="00311B07">
        <w:rPr>
          <w:rFonts w:ascii="Times New Roman" w:hAnsi="Times New Roman"/>
          <w:sz w:val="28"/>
        </w:rPr>
        <w:t xml:space="preserve"> року</w:t>
      </w:r>
      <w:r w:rsidRPr="00311B07">
        <w:rPr>
          <w:rFonts w:ascii="Times New Roman" w:hAnsi="Times New Roman"/>
          <w:sz w:val="28"/>
        </w:rPr>
        <w:t xml:space="preserve"> забезпечено утримання</w:t>
      </w:r>
      <w:r w:rsidR="0001480F" w:rsidRPr="00311B07">
        <w:rPr>
          <w:rFonts w:ascii="Times New Roman" w:hAnsi="Times New Roman"/>
          <w:sz w:val="28"/>
        </w:rPr>
        <w:t xml:space="preserve"> державного боргу в межах його граничного обсягу. На фоні покращ</w:t>
      </w:r>
      <w:r w:rsidR="00150DA3" w:rsidRPr="00311B07">
        <w:rPr>
          <w:rFonts w:ascii="Times New Roman" w:hAnsi="Times New Roman"/>
          <w:sz w:val="28"/>
        </w:rPr>
        <w:t>а</w:t>
      </w:r>
      <w:r w:rsidR="0001480F" w:rsidRPr="00311B07">
        <w:rPr>
          <w:rFonts w:ascii="Times New Roman" w:hAnsi="Times New Roman"/>
          <w:sz w:val="28"/>
        </w:rPr>
        <w:t>ння динаміки економічного й соціального розвит</w:t>
      </w:r>
      <w:r w:rsidR="00865F26" w:rsidRPr="00311B07">
        <w:rPr>
          <w:rFonts w:ascii="Times New Roman" w:hAnsi="Times New Roman"/>
          <w:sz w:val="28"/>
        </w:rPr>
        <w:t>ку України та продовження у 2018</w:t>
      </w:r>
      <w:r w:rsidR="0001480F" w:rsidRPr="00311B07">
        <w:rPr>
          <w:rFonts w:ascii="Times New Roman" w:hAnsi="Times New Roman"/>
          <w:sz w:val="28"/>
        </w:rPr>
        <w:t xml:space="preserve"> році зростання економіки,  а також зниження дефіциту державного бюджету з 2,9% до ВВП </w:t>
      </w:r>
      <w:r w:rsidR="001E01E5" w:rsidRPr="00311B07">
        <w:rPr>
          <w:rFonts w:ascii="Times New Roman" w:hAnsi="Times New Roman"/>
          <w:sz w:val="28"/>
        </w:rPr>
        <w:t xml:space="preserve">у </w:t>
      </w:r>
      <w:r w:rsidR="0001480F" w:rsidRPr="00311B07">
        <w:rPr>
          <w:rFonts w:ascii="Times New Roman" w:hAnsi="Times New Roman"/>
          <w:sz w:val="28"/>
        </w:rPr>
        <w:t>2016 р</w:t>
      </w:r>
      <w:r w:rsidR="001E01E5" w:rsidRPr="00311B07">
        <w:rPr>
          <w:rFonts w:ascii="Times New Roman" w:hAnsi="Times New Roman"/>
          <w:sz w:val="28"/>
        </w:rPr>
        <w:t>оці</w:t>
      </w:r>
      <w:r w:rsidR="0001480F" w:rsidRPr="00311B07">
        <w:rPr>
          <w:rFonts w:ascii="Times New Roman" w:hAnsi="Times New Roman"/>
          <w:sz w:val="28"/>
        </w:rPr>
        <w:t xml:space="preserve"> до 1,</w:t>
      </w:r>
      <w:r w:rsidR="009E50BB" w:rsidRPr="00311B07">
        <w:rPr>
          <w:rFonts w:ascii="Times New Roman" w:hAnsi="Times New Roman"/>
          <w:sz w:val="28"/>
        </w:rPr>
        <w:t>7</w:t>
      </w:r>
      <w:r w:rsidR="0001480F" w:rsidRPr="00311B07">
        <w:rPr>
          <w:rFonts w:ascii="Times New Roman" w:hAnsi="Times New Roman"/>
          <w:sz w:val="28"/>
        </w:rPr>
        <w:t xml:space="preserve">% до ВВП </w:t>
      </w:r>
      <w:r w:rsidR="001E01E5" w:rsidRPr="00311B07">
        <w:rPr>
          <w:rFonts w:ascii="Times New Roman" w:hAnsi="Times New Roman"/>
          <w:sz w:val="28"/>
        </w:rPr>
        <w:t xml:space="preserve">у </w:t>
      </w:r>
      <w:r w:rsidR="009E50BB" w:rsidRPr="00311B07">
        <w:rPr>
          <w:rFonts w:ascii="Times New Roman" w:hAnsi="Times New Roman"/>
          <w:sz w:val="28"/>
        </w:rPr>
        <w:t xml:space="preserve">2018 </w:t>
      </w:r>
      <w:r w:rsidR="001E01E5" w:rsidRPr="00311B07">
        <w:rPr>
          <w:rFonts w:ascii="Times New Roman" w:hAnsi="Times New Roman"/>
          <w:sz w:val="28"/>
        </w:rPr>
        <w:t xml:space="preserve">році </w:t>
      </w:r>
      <w:r w:rsidR="0001480F" w:rsidRPr="00311B07">
        <w:rPr>
          <w:rFonts w:ascii="Times New Roman" w:hAnsi="Times New Roman"/>
          <w:sz w:val="28"/>
        </w:rPr>
        <w:t xml:space="preserve">показник відношення державного боргу до ВВП також значно покращився – з 69,2% на кінець 2016 року до </w:t>
      </w:r>
      <w:r w:rsidR="009E50BB" w:rsidRPr="00311B07">
        <w:rPr>
          <w:rFonts w:ascii="Times New Roman" w:hAnsi="Times New Roman"/>
          <w:sz w:val="28"/>
        </w:rPr>
        <w:t>52,3</w:t>
      </w:r>
      <w:r w:rsidR="0001480F" w:rsidRPr="00311B07">
        <w:rPr>
          <w:rFonts w:ascii="Times New Roman" w:hAnsi="Times New Roman"/>
          <w:sz w:val="28"/>
        </w:rPr>
        <w:t xml:space="preserve">% на кінець </w:t>
      </w:r>
      <w:r w:rsidR="00CF1F8B" w:rsidRPr="00311B07">
        <w:rPr>
          <w:rFonts w:ascii="Times New Roman" w:hAnsi="Times New Roman"/>
          <w:sz w:val="28"/>
        </w:rPr>
        <w:t>2018</w:t>
      </w:r>
      <w:r w:rsidR="0001480F" w:rsidRPr="00311B07">
        <w:rPr>
          <w:rFonts w:ascii="Times New Roman" w:hAnsi="Times New Roman"/>
          <w:sz w:val="28"/>
        </w:rPr>
        <w:t xml:space="preserve"> року</w:t>
      </w:r>
      <w:r w:rsidRPr="00311B07">
        <w:rPr>
          <w:rFonts w:ascii="Times New Roman" w:hAnsi="Times New Roman"/>
          <w:sz w:val="28"/>
        </w:rPr>
        <w:t xml:space="preserve">, а показник відношення </w:t>
      </w:r>
      <w:r w:rsidR="00752AE1" w:rsidRPr="00311B07">
        <w:rPr>
          <w:rFonts w:ascii="Times New Roman" w:hAnsi="Times New Roman"/>
          <w:sz w:val="28"/>
        </w:rPr>
        <w:t>державного</w:t>
      </w:r>
      <w:r w:rsidRPr="00311B07">
        <w:rPr>
          <w:rFonts w:ascii="Times New Roman" w:hAnsi="Times New Roman"/>
          <w:sz w:val="28"/>
        </w:rPr>
        <w:t xml:space="preserve"> боргу</w:t>
      </w:r>
      <w:r w:rsidR="00752AE1" w:rsidRPr="00311B07">
        <w:rPr>
          <w:rFonts w:ascii="Times New Roman" w:hAnsi="Times New Roman"/>
          <w:sz w:val="28"/>
        </w:rPr>
        <w:t xml:space="preserve"> </w:t>
      </w:r>
      <w:r w:rsidRPr="00311B07">
        <w:rPr>
          <w:rFonts w:ascii="Times New Roman" w:hAnsi="Times New Roman"/>
          <w:sz w:val="28"/>
        </w:rPr>
        <w:t>та</w:t>
      </w:r>
      <w:r w:rsidR="00752AE1" w:rsidRPr="00311B07">
        <w:rPr>
          <w:rFonts w:ascii="Times New Roman" w:hAnsi="Times New Roman"/>
          <w:sz w:val="28"/>
        </w:rPr>
        <w:t xml:space="preserve"> гарантованого</w:t>
      </w:r>
      <w:r w:rsidRPr="00311B07">
        <w:rPr>
          <w:rFonts w:ascii="Times New Roman" w:hAnsi="Times New Roman"/>
          <w:sz w:val="28"/>
        </w:rPr>
        <w:t xml:space="preserve"> державою боргу</w:t>
      </w:r>
      <w:r w:rsidR="00752AE1" w:rsidRPr="00311B07">
        <w:rPr>
          <w:rFonts w:ascii="Times New Roman" w:hAnsi="Times New Roman"/>
          <w:sz w:val="28"/>
        </w:rPr>
        <w:t xml:space="preserve"> </w:t>
      </w:r>
      <w:r w:rsidR="001E01E5" w:rsidRPr="00311B07">
        <w:rPr>
          <w:rFonts w:ascii="Times New Roman" w:hAnsi="Times New Roman"/>
          <w:sz w:val="28"/>
        </w:rPr>
        <w:t xml:space="preserve">до ВВП </w:t>
      </w:r>
      <w:r w:rsidR="00752AE1" w:rsidRPr="00311B07">
        <w:rPr>
          <w:rFonts w:ascii="Times New Roman" w:hAnsi="Times New Roman"/>
          <w:sz w:val="28"/>
        </w:rPr>
        <w:t>– з 80,9% до 60,9%</w:t>
      </w:r>
      <w:r w:rsidR="0001480F" w:rsidRPr="00311B07">
        <w:rPr>
          <w:rFonts w:ascii="Times New Roman" w:hAnsi="Times New Roman"/>
          <w:sz w:val="28"/>
        </w:rPr>
        <w:t>.</w:t>
      </w:r>
    </w:p>
    <w:p w14:paraId="7EA9DD4F" w14:textId="77777777" w:rsidR="003538A0" w:rsidRPr="00311B07" w:rsidRDefault="003538A0" w:rsidP="000545FD">
      <w:pPr>
        <w:spacing w:after="80" w:line="240" w:lineRule="auto"/>
        <w:ind w:firstLine="708"/>
        <w:jc w:val="both"/>
        <w:rPr>
          <w:rFonts w:ascii="Times New Roman" w:hAnsi="Times New Roman"/>
        </w:rPr>
      </w:pPr>
    </w:p>
    <w:p w14:paraId="559C2B71" w14:textId="77777777" w:rsidR="0001480F" w:rsidRPr="00311B07" w:rsidRDefault="0001480F" w:rsidP="000545FD">
      <w:pPr>
        <w:spacing w:after="80" w:line="240" w:lineRule="auto"/>
        <w:ind w:right="-1" w:firstLine="709"/>
        <w:jc w:val="both"/>
        <w:rPr>
          <w:rFonts w:ascii="Times New Roman" w:hAnsi="Times New Roman"/>
          <w:sz w:val="28"/>
          <w:szCs w:val="28"/>
          <w:lang w:val="ru-RU"/>
        </w:rPr>
      </w:pPr>
    </w:p>
    <w:p w14:paraId="307D18B1" w14:textId="77777777" w:rsidR="00280038" w:rsidRPr="005156DC" w:rsidRDefault="00280038" w:rsidP="00F1586C">
      <w:pPr>
        <w:pStyle w:val="a4"/>
        <w:spacing w:before="0" w:beforeAutospacing="0" w:after="80" w:afterAutospacing="0"/>
        <w:ind w:right="-1" w:firstLine="709"/>
        <w:jc w:val="both"/>
      </w:pPr>
    </w:p>
    <w:sectPr w:rsidR="00280038" w:rsidRPr="005156DC" w:rsidSect="00EC7FCB">
      <w:headerReference w:type="default" r:id="rId17"/>
      <w:footerReference w:type="default" r:id="rId18"/>
      <w:footerReference w:type="first" r:id="rId19"/>
      <w:pgSz w:w="11906" w:h="16838"/>
      <w:pgMar w:top="1134" w:right="567" w:bottom="851" w:left="1701"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EE060" w14:textId="77777777" w:rsidR="008E4AF3" w:rsidRDefault="008E4AF3" w:rsidP="00D56E3A">
      <w:pPr>
        <w:spacing w:after="0" w:line="240" w:lineRule="auto"/>
      </w:pPr>
      <w:r>
        <w:separator/>
      </w:r>
    </w:p>
  </w:endnote>
  <w:endnote w:type="continuationSeparator" w:id="0">
    <w:p w14:paraId="4E752C89" w14:textId="77777777" w:rsidR="008E4AF3" w:rsidRDefault="008E4AF3" w:rsidP="00D5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94129"/>
      <w:docPartObj>
        <w:docPartGallery w:val="Page Numbers (Bottom of Page)"/>
        <w:docPartUnique/>
      </w:docPartObj>
    </w:sdtPr>
    <w:sdtEndPr/>
    <w:sdtContent>
      <w:p w14:paraId="5C39D7E0" w14:textId="67C51506" w:rsidR="008E4AF3" w:rsidRDefault="008E4AF3">
        <w:pPr>
          <w:pStyle w:val="af"/>
          <w:jc w:val="center"/>
        </w:pPr>
        <w:r w:rsidRPr="00EC7FCB">
          <w:rPr>
            <w:rFonts w:ascii="Times New Roman" w:hAnsi="Times New Roman" w:cs="Times New Roman"/>
            <w:sz w:val="24"/>
            <w:szCs w:val="24"/>
          </w:rPr>
          <w:fldChar w:fldCharType="begin"/>
        </w:r>
        <w:r w:rsidRPr="00EC7FCB">
          <w:rPr>
            <w:rFonts w:ascii="Times New Roman" w:hAnsi="Times New Roman" w:cs="Times New Roman"/>
            <w:sz w:val="24"/>
            <w:szCs w:val="24"/>
          </w:rPr>
          <w:instrText>PAGE   \* MERGEFORMAT</w:instrText>
        </w:r>
        <w:r w:rsidRPr="00EC7FCB">
          <w:rPr>
            <w:rFonts w:ascii="Times New Roman" w:hAnsi="Times New Roman" w:cs="Times New Roman"/>
            <w:sz w:val="24"/>
            <w:szCs w:val="24"/>
          </w:rPr>
          <w:fldChar w:fldCharType="separate"/>
        </w:r>
        <w:r w:rsidR="001060C9">
          <w:rPr>
            <w:rFonts w:ascii="Times New Roman" w:hAnsi="Times New Roman" w:cs="Times New Roman"/>
            <w:noProof/>
            <w:sz w:val="24"/>
            <w:szCs w:val="24"/>
          </w:rPr>
          <w:t>2</w:t>
        </w:r>
        <w:r w:rsidRPr="00EC7FCB">
          <w:rPr>
            <w:rFonts w:ascii="Times New Roman" w:hAnsi="Times New Roman" w:cs="Times New Roman"/>
            <w:sz w:val="24"/>
            <w:szCs w:val="24"/>
          </w:rPr>
          <w:fldChar w:fldCharType="end"/>
        </w:r>
      </w:p>
    </w:sdtContent>
  </w:sdt>
  <w:p w14:paraId="6FDEA652" w14:textId="77777777" w:rsidR="008E4AF3" w:rsidRDefault="008E4A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22980"/>
      <w:docPartObj>
        <w:docPartGallery w:val="Page Numbers (Bottom of Page)"/>
        <w:docPartUnique/>
      </w:docPartObj>
    </w:sdtPr>
    <w:sdtEndPr/>
    <w:sdtContent>
      <w:p w14:paraId="1CF4A807" w14:textId="60BDBF3E" w:rsidR="008E4AF3" w:rsidRDefault="008E4AF3">
        <w:pPr>
          <w:pStyle w:val="af"/>
          <w:jc w:val="center"/>
        </w:pPr>
        <w:r>
          <w:fldChar w:fldCharType="begin"/>
        </w:r>
        <w:r>
          <w:instrText>PAGE   \* MERGEFORMAT</w:instrText>
        </w:r>
        <w:r>
          <w:fldChar w:fldCharType="separate"/>
        </w:r>
        <w:r w:rsidR="001060C9">
          <w:rPr>
            <w:noProof/>
          </w:rPr>
          <w:t>1</w:t>
        </w:r>
        <w:r>
          <w:fldChar w:fldCharType="end"/>
        </w:r>
      </w:p>
    </w:sdtContent>
  </w:sdt>
  <w:p w14:paraId="70DEDECB" w14:textId="77777777" w:rsidR="008E4AF3" w:rsidRDefault="008E4AF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26BE5" w14:textId="77777777" w:rsidR="008E4AF3" w:rsidRDefault="008E4AF3" w:rsidP="00D56E3A">
      <w:pPr>
        <w:spacing w:after="0" w:line="240" w:lineRule="auto"/>
      </w:pPr>
      <w:r>
        <w:separator/>
      </w:r>
    </w:p>
  </w:footnote>
  <w:footnote w:type="continuationSeparator" w:id="0">
    <w:p w14:paraId="6ABFA8DA" w14:textId="77777777" w:rsidR="008E4AF3" w:rsidRDefault="008E4AF3" w:rsidP="00D56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E17A" w14:textId="77777777" w:rsidR="008E4AF3" w:rsidRPr="00A370E7" w:rsidRDefault="008E4AF3">
    <w:pPr>
      <w:pStyle w:val="ad"/>
      <w:jc w:val="center"/>
      <w:rPr>
        <w:rFonts w:ascii="Times New Roman" w:hAnsi="Times New Roman" w:cs="Times New Roman"/>
        <w:sz w:val="24"/>
        <w:szCs w:val="24"/>
      </w:rPr>
    </w:pPr>
  </w:p>
  <w:p w14:paraId="252AF27F" w14:textId="77777777" w:rsidR="008E4AF3" w:rsidRDefault="008E4A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C48A718C"/>
    <w:lvl w:ilvl="0" w:tplc="A7B2EC10">
      <w:start w:val="1"/>
      <w:numFmt w:val="bullet"/>
      <w:lvlText w:val="–"/>
      <w:lvlJc w:val="left"/>
      <w:pPr>
        <w:ind w:left="1430" w:hanging="360"/>
      </w:pPr>
      <w:rPr>
        <w:rFonts w:ascii="Calibri" w:eastAsia="Times New Roman" w:hAnsi="Calibri" w:hint="default"/>
      </w:rPr>
    </w:lvl>
    <w:lvl w:ilvl="1" w:tplc="04220003">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1">
    <w:nsid w:val="06EC470A"/>
    <w:multiLevelType w:val="hybridMultilevel"/>
    <w:tmpl w:val="BF42CF14"/>
    <w:lvl w:ilvl="0" w:tplc="3AFAF9DA">
      <w:start w:val="20"/>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A0E6CFA"/>
    <w:multiLevelType w:val="hybridMultilevel"/>
    <w:tmpl w:val="1F3C9472"/>
    <w:lvl w:ilvl="0" w:tplc="A7B2EC10">
      <w:start w:val="1"/>
      <w:numFmt w:val="bullet"/>
      <w:lvlText w:val="–"/>
      <w:lvlJc w:val="left"/>
      <w:pPr>
        <w:ind w:left="928" w:hanging="360"/>
      </w:pPr>
      <w:rPr>
        <w:rFonts w:ascii="Calibri" w:eastAsia="Times New Roman" w:hAnsi="Calibri"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nsid w:val="0A7446D8"/>
    <w:multiLevelType w:val="hybridMultilevel"/>
    <w:tmpl w:val="02189CD4"/>
    <w:lvl w:ilvl="0" w:tplc="A872CF7E">
      <w:start w:val="1"/>
      <w:numFmt w:val="bullet"/>
      <w:lvlText w:val=""/>
      <w:lvlJc w:val="left"/>
      <w:pPr>
        <w:ind w:left="1287" w:hanging="360"/>
      </w:pPr>
      <w:rPr>
        <w:rFonts w:ascii="Symbol" w:hAnsi="Symbol" w:hint="default"/>
        <w:sz w:val="24"/>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nsid w:val="216F5D95"/>
    <w:multiLevelType w:val="hybridMultilevel"/>
    <w:tmpl w:val="99969404"/>
    <w:lvl w:ilvl="0" w:tplc="E9A64C04">
      <w:start w:val="1"/>
      <w:numFmt w:val="bullet"/>
      <w:lvlText w:val="•"/>
      <w:lvlJc w:val="left"/>
      <w:pPr>
        <w:tabs>
          <w:tab w:val="num" w:pos="720"/>
        </w:tabs>
        <w:ind w:left="720" w:hanging="360"/>
      </w:pPr>
      <w:rPr>
        <w:rFonts w:ascii="Times New Roman" w:hAnsi="Times New Roman" w:hint="default"/>
        <w:lang w:val="ru-RU"/>
      </w:rPr>
    </w:lvl>
    <w:lvl w:ilvl="1" w:tplc="6BE83B6A" w:tentative="1">
      <w:start w:val="1"/>
      <w:numFmt w:val="bullet"/>
      <w:lvlText w:val="•"/>
      <w:lvlJc w:val="left"/>
      <w:pPr>
        <w:tabs>
          <w:tab w:val="num" w:pos="1440"/>
        </w:tabs>
        <w:ind w:left="1440" w:hanging="360"/>
      </w:pPr>
      <w:rPr>
        <w:rFonts w:ascii="Times New Roman" w:hAnsi="Times New Roman" w:hint="default"/>
      </w:rPr>
    </w:lvl>
    <w:lvl w:ilvl="2" w:tplc="C0BEC85E" w:tentative="1">
      <w:start w:val="1"/>
      <w:numFmt w:val="bullet"/>
      <w:lvlText w:val="•"/>
      <w:lvlJc w:val="left"/>
      <w:pPr>
        <w:tabs>
          <w:tab w:val="num" w:pos="2160"/>
        </w:tabs>
        <w:ind w:left="2160" w:hanging="360"/>
      </w:pPr>
      <w:rPr>
        <w:rFonts w:ascii="Times New Roman" w:hAnsi="Times New Roman" w:hint="default"/>
      </w:rPr>
    </w:lvl>
    <w:lvl w:ilvl="3" w:tplc="4C9695F2" w:tentative="1">
      <w:start w:val="1"/>
      <w:numFmt w:val="bullet"/>
      <w:lvlText w:val="•"/>
      <w:lvlJc w:val="left"/>
      <w:pPr>
        <w:tabs>
          <w:tab w:val="num" w:pos="2880"/>
        </w:tabs>
        <w:ind w:left="2880" w:hanging="360"/>
      </w:pPr>
      <w:rPr>
        <w:rFonts w:ascii="Times New Roman" w:hAnsi="Times New Roman" w:hint="default"/>
      </w:rPr>
    </w:lvl>
    <w:lvl w:ilvl="4" w:tplc="CBA050FC" w:tentative="1">
      <w:start w:val="1"/>
      <w:numFmt w:val="bullet"/>
      <w:lvlText w:val="•"/>
      <w:lvlJc w:val="left"/>
      <w:pPr>
        <w:tabs>
          <w:tab w:val="num" w:pos="3600"/>
        </w:tabs>
        <w:ind w:left="3600" w:hanging="360"/>
      </w:pPr>
      <w:rPr>
        <w:rFonts w:ascii="Times New Roman" w:hAnsi="Times New Roman" w:hint="default"/>
      </w:rPr>
    </w:lvl>
    <w:lvl w:ilvl="5" w:tplc="319C73D8" w:tentative="1">
      <w:start w:val="1"/>
      <w:numFmt w:val="bullet"/>
      <w:lvlText w:val="•"/>
      <w:lvlJc w:val="left"/>
      <w:pPr>
        <w:tabs>
          <w:tab w:val="num" w:pos="4320"/>
        </w:tabs>
        <w:ind w:left="4320" w:hanging="360"/>
      </w:pPr>
      <w:rPr>
        <w:rFonts w:ascii="Times New Roman" w:hAnsi="Times New Roman" w:hint="default"/>
      </w:rPr>
    </w:lvl>
    <w:lvl w:ilvl="6" w:tplc="97CE63CE" w:tentative="1">
      <w:start w:val="1"/>
      <w:numFmt w:val="bullet"/>
      <w:lvlText w:val="•"/>
      <w:lvlJc w:val="left"/>
      <w:pPr>
        <w:tabs>
          <w:tab w:val="num" w:pos="5040"/>
        </w:tabs>
        <w:ind w:left="5040" w:hanging="360"/>
      </w:pPr>
      <w:rPr>
        <w:rFonts w:ascii="Times New Roman" w:hAnsi="Times New Roman" w:hint="default"/>
      </w:rPr>
    </w:lvl>
    <w:lvl w:ilvl="7" w:tplc="7228C14A" w:tentative="1">
      <w:start w:val="1"/>
      <w:numFmt w:val="bullet"/>
      <w:lvlText w:val="•"/>
      <w:lvlJc w:val="left"/>
      <w:pPr>
        <w:tabs>
          <w:tab w:val="num" w:pos="5760"/>
        </w:tabs>
        <w:ind w:left="5760" w:hanging="360"/>
      </w:pPr>
      <w:rPr>
        <w:rFonts w:ascii="Times New Roman" w:hAnsi="Times New Roman" w:hint="default"/>
      </w:rPr>
    </w:lvl>
    <w:lvl w:ilvl="8" w:tplc="D62E62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FD25D7"/>
    <w:multiLevelType w:val="hybridMultilevel"/>
    <w:tmpl w:val="CE24BF2A"/>
    <w:lvl w:ilvl="0" w:tplc="1C88089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EFF1C7C"/>
    <w:multiLevelType w:val="hybridMultilevel"/>
    <w:tmpl w:val="4EBE5C8E"/>
    <w:lvl w:ilvl="0" w:tplc="1C88089A">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7">
    <w:nsid w:val="2FB44AC4"/>
    <w:multiLevelType w:val="hybridMultilevel"/>
    <w:tmpl w:val="043E367C"/>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nsid w:val="324700AA"/>
    <w:multiLevelType w:val="hybridMultilevel"/>
    <w:tmpl w:val="288E2040"/>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39373A5B"/>
    <w:multiLevelType w:val="hybridMultilevel"/>
    <w:tmpl w:val="FCD8AF6E"/>
    <w:lvl w:ilvl="0" w:tplc="04220003">
      <w:start w:val="1"/>
      <w:numFmt w:val="bullet"/>
      <w:lvlText w:val="o"/>
      <w:lvlJc w:val="left"/>
      <w:pPr>
        <w:ind w:left="1353" w:hanging="360"/>
      </w:pPr>
      <w:rPr>
        <w:rFonts w:ascii="Courier New" w:hAnsi="Courier New" w:cs="Courier New"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0">
    <w:nsid w:val="400306FB"/>
    <w:multiLevelType w:val="hybridMultilevel"/>
    <w:tmpl w:val="6D1E784E"/>
    <w:lvl w:ilvl="0" w:tplc="3BFC873C">
      <w:start w:val="1"/>
      <w:numFmt w:val="upperRoman"/>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nsid w:val="43943FA6"/>
    <w:multiLevelType w:val="hybridMultilevel"/>
    <w:tmpl w:val="B9267BBE"/>
    <w:lvl w:ilvl="0" w:tplc="62A85A12">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2">
    <w:nsid w:val="4B332D15"/>
    <w:multiLevelType w:val="hybridMultilevel"/>
    <w:tmpl w:val="101AF4BE"/>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3">
    <w:nsid w:val="6DF63A28"/>
    <w:multiLevelType w:val="hybridMultilevel"/>
    <w:tmpl w:val="A6160E0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12"/>
  </w:num>
  <w:num w:numId="6">
    <w:abstractNumId w:val="9"/>
  </w:num>
  <w:num w:numId="7">
    <w:abstractNumId w:val="10"/>
  </w:num>
  <w:num w:numId="8">
    <w:abstractNumId w:val="7"/>
  </w:num>
  <w:num w:numId="9">
    <w:abstractNumId w:val="8"/>
  </w:num>
  <w:num w:numId="10">
    <w:abstractNumId w:val="5"/>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8F"/>
    <w:rsid w:val="0000768E"/>
    <w:rsid w:val="0001480F"/>
    <w:rsid w:val="000206F4"/>
    <w:rsid w:val="00022A89"/>
    <w:rsid w:val="00032540"/>
    <w:rsid w:val="00032DFC"/>
    <w:rsid w:val="00037F0C"/>
    <w:rsid w:val="0004708F"/>
    <w:rsid w:val="000545FD"/>
    <w:rsid w:val="00074521"/>
    <w:rsid w:val="000749CF"/>
    <w:rsid w:val="00075B5F"/>
    <w:rsid w:val="0008481F"/>
    <w:rsid w:val="000859AA"/>
    <w:rsid w:val="000879C0"/>
    <w:rsid w:val="000A0840"/>
    <w:rsid w:val="000A1797"/>
    <w:rsid w:val="000A2D9D"/>
    <w:rsid w:val="000B57A2"/>
    <w:rsid w:val="000B67E0"/>
    <w:rsid w:val="000C13B3"/>
    <w:rsid w:val="000D0668"/>
    <w:rsid w:val="000D6F60"/>
    <w:rsid w:val="000E32D9"/>
    <w:rsid w:val="000F114B"/>
    <w:rsid w:val="000F4586"/>
    <w:rsid w:val="000F7A42"/>
    <w:rsid w:val="000F7F0A"/>
    <w:rsid w:val="00101625"/>
    <w:rsid w:val="00102524"/>
    <w:rsid w:val="001060C9"/>
    <w:rsid w:val="00116DD4"/>
    <w:rsid w:val="00117A84"/>
    <w:rsid w:val="001213A4"/>
    <w:rsid w:val="0013613D"/>
    <w:rsid w:val="001455AD"/>
    <w:rsid w:val="00146941"/>
    <w:rsid w:val="00150DA3"/>
    <w:rsid w:val="0015292B"/>
    <w:rsid w:val="001538B6"/>
    <w:rsid w:val="00157998"/>
    <w:rsid w:val="0016350F"/>
    <w:rsid w:val="00173EC3"/>
    <w:rsid w:val="0017694B"/>
    <w:rsid w:val="00180CDD"/>
    <w:rsid w:val="00190FB0"/>
    <w:rsid w:val="001A0765"/>
    <w:rsid w:val="001A2B6B"/>
    <w:rsid w:val="001A4371"/>
    <w:rsid w:val="001A74D0"/>
    <w:rsid w:val="001D6B43"/>
    <w:rsid w:val="001D6ED7"/>
    <w:rsid w:val="001E01E5"/>
    <w:rsid w:val="001E1FC5"/>
    <w:rsid w:val="001E3770"/>
    <w:rsid w:val="001E52F8"/>
    <w:rsid w:val="001F0991"/>
    <w:rsid w:val="001F2C3D"/>
    <w:rsid w:val="001F308D"/>
    <w:rsid w:val="001F3773"/>
    <w:rsid w:val="001F7736"/>
    <w:rsid w:val="00201222"/>
    <w:rsid w:val="00201813"/>
    <w:rsid w:val="00214B56"/>
    <w:rsid w:val="00217CDB"/>
    <w:rsid w:val="00224E22"/>
    <w:rsid w:val="00226825"/>
    <w:rsid w:val="002277AE"/>
    <w:rsid w:val="00230D37"/>
    <w:rsid w:val="002310EE"/>
    <w:rsid w:val="0023731D"/>
    <w:rsid w:val="00242F87"/>
    <w:rsid w:val="00247319"/>
    <w:rsid w:val="002505E0"/>
    <w:rsid w:val="00250ACB"/>
    <w:rsid w:val="002619A1"/>
    <w:rsid w:val="00271BE3"/>
    <w:rsid w:val="002751F5"/>
    <w:rsid w:val="00275B49"/>
    <w:rsid w:val="00280038"/>
    <w:rsid w:val="00285AB4"/>
    <w:rsid w:val="00294510"/>
    <w:rsid w:val="002A41EC"/>
    <w:rsid w:val="002A4ABD"/>
    <w:rsid w:val="002A51B9"/>
    <w:rsid w:val="002A5B38"/>
    <w:rsid w:val="002B2578"/>
    <w:rsid w:val="002C3024"/>
    <w:rsid w:val="002C6529"/>
    <w:rsid w:val="002D528D"/>
    <w:rsid w:val="002E3247"/>
    <w:rsid w:val="002F77F0"/>
    <w:rsid w:val="00303834"/>
    <w:rsid w:val="003040C0"/>
    <w:rsid w:val="00306FDD"/>
    <w:rsid w:val="00310934"/>
    <w:rsid w:val="00311B07"/>
    <w:rsid w:val="0031422B"/>
    <w:rsid w:val="0032170F"/>
    <w:rsid w:val="00333C3D"/>
    <w:rsid w:val="00333CF2"/>
    <w:rsid w:val="00350ECB"/>
    <w:rsid w:val="003538A0"/>
    <w:rsid w:val="003571E9"/>
    <w:rsid w:val="003609F3"/>
    <w:rsid w:val="00370973"/>
    <w:rsid w:val="00371564"/>
    <w:rsid w:val="0037227E"/>
    <w:rsid w:val="003738CA"/>
    <w:rsid w:val="00374151"/>
    <w:rsid w:val="00377EED"/>
    <w:rsid w:val="00383C43"/>
    <w:rsid w:val="00386B19"/>
    <w:rsid w:val="00386FE5"/>
    <w:rsid w:val="003904DC"/>
    <w:rsid w:val="003A06A7"/>
    <w:rsid w:val="003A2C3D"/>
    <w:rsid w:val="003A7B21"/>
    <w:rsid w:val="003A7D7F"/>
    <w:rsid w:val="003C0CBB"/>
    <w:rsid w:val="003D6802"/>
    <w:rsid w:val="003F1059"/>
    <w:rsid w:val="003F626C"/>
    <w:rsid w:val="00403FAD"/>
    <w:rsid w:val="00404976"/>
    <w:rsid w:val="00410686"/>
    <w:rsid w:val="00413E7B"/>
    <w:rsid w:val="004218B9"/>
    <w:rsid w:val="0042430C"/>
    <w:rsid w:val="00440526"/>
    <w:rsid w:val="00442B9A"/>
    <w:rsid w:val="0044685E"/>
    <w:rsid w:val="00450948"/>
    <w:rsid w:val="00461B91"/>
    <w:rsid w:val="00464B4D"/>
    <w:rsid w:val="00477730"/>
    <w:rsid w:val="004779E5"/>
    <w:rsid w:val="00487CEE"/>
    <w:rsid w:val="00495ED6"/>
    <w:rsid w:val="004A564D"/>
    <w:rsid w:val="004B1580"/>
    <w:rsid w:val="004C43BB"/>
    <w:rsid w:val="004D067F"/>
    <w:rsid w:val="004D0F9D"/>
    <w:rsid w:val="004D47BE"/>
    <w:rsid w:val="004D523C"/>
    <w:rsid w:val="004D7B10"/>
    <w:rsid w:val="004E1278"/>
    <w:rsid w:val="004E1430"/>
    <w:rsid w:val="004E2958"/>
    <w:rsid w:val="004E2AD1"/>
    <w:rsid w:val="004F4698"/>
    <w:rsid w:val="004F6202"/>
    <w:rsid w:val="00506123"/>
    <w:rsid w:val="005069B3"/>
    <w:rsid w:val="00511BFE"/>
    <w:rsid w:val="005156DC"/>
    <w:rsid w:val="00515850"/>
    <w:rsid w:val="00515DD0"/>
    <w:rsid w:val="005231D7"/>
    <w:rsid w:val="00525509"/>
    <w:rsid w:val="0052569D"/>
    <w:rsid w:val="00532449"/>
    <w:rsid w:val="00535DD1"/>
    <w:rsid w:val="00541158"/>
    <w:rsid w:val="00547DB3"/>
    <w:rsid w:val="00550BF8"/>
    <w:rsid w:val="00551884"/>
    <w:rsid w:val="00564839"/>
    <w:rsid w:val="0056655D"/>
    <w:rsid w:val="0056668F"/>
    <w:rsid w:val="005679FC"/>
    <w:rsid w:val="005756B1"/>
    <w:rsid w:val="00577C1D"/>
    <w:rsid w:val="0058500E"/>
    <w:rsid w:val="0059672B"/>
    <w:rsid w:val="005A0CDC"/>
    <w:rsid w:val="005A263F"/>
    <w:rsid w:val="005A37C8"/>
    <w:rsid w:val="005B0694"/>
    <w:rsid w:val="005C0268"/>
    <w:rsid w:val="005C085B"/>
    <w:rsid w:val="005C1997"/>
    <w:rsid w:val="005C4580"/>
    <w:rsid w:val="005D0DE1"/>
    <w:rsid w:val="005D3213"/>
    <w:rsid w:val="005E292F"/>
    <w:rsid w:val="005F25F6"/>
    <w:rsid w:val="00614540"/>
    <w:rsid w:val="006221AA"/>
    <w:rsid w:val="0062326E"/>
    <w:rsid w:val="00624987"/>
    <w:rsid w:val="00626856"/>
    <w:rsid w:val="0063712B"/>
    <w:rsid w:val="006440AC"/>
    <w:rsid w:val="00645BA1"/>
    <w:rsid w:val="006529EE"/>
    <w:rsid w:val="00653C83"/>
    <w:rsid w:val="006568C4"/>
    <w:rsid w:val="00667CFE"/>
    <w:rsid w:val="006705F8"/>
    <w:rsid w:val="00670A91"/>
    <w:rsid w:val="006766F3"/>
    <w:rsid w:val="006847C7"/>
    <w:rsid w:val="00685092"/>
    <w:rsid w:val="00685ACD"/>
    <w:rsid w:val="006A1D8F"/>
    <w:rsid w:val="006A7CCF"/>
    <w:rsid w:val="006B1C84"/>
    <w:rsid w:val="006B7D57"/>
    <w:rsid w:val="006C3D27"/>
    <w:rsid w:val="006E0DEC"/>
    <w:rsid w:val="006E4570"/>
    <w:rsid w:val="006E53D8"/>
    <w:rsid w:val="006F1CA0"/>
    <w:rsid w:val="00704365"/>
    <w:rsid w:val="00704C5C"/>
    <w:rsid w:val="00707BD9"/>
    <w:rsid w:val="00710238"/>
    <w:rsid w:val="00723F1A"/>
    <w:rsid w:val="00752AE1"/>
    <w:rsid w:val="00753CD6"/>
    <w:rsid w:val="00766192"/>
    <w:rsid w:val="0078316A"/>
    <w:rsid w:val="007A3ECA"/>
    <w:rsid w:val="007C3BC8"/>
    <w:rsid w:val="007C4FE7"/>
    <w:rsid w:val="007C5214"/>
    <w:rsid w:val="007C715C"/>
    <w:rsid w:val="007D08C5"/>
    <w:rsid w:val="007D180A"/>
    <w:rsid w:val="007D1979"/>
    <w:rsid w:val="007D2B72"/>
    <w:rsid w:val="007D38F9"/>
    <w:rsid w:val="007E13C9"/>
    <w:rsid w:val="007E28F8"/>
    <w:rsid w:val="007E5846"/>
    <w:rsid w:val="007E751A"/>
    <w:rsid w:val="007F38E7"/>
    <w:rsid w:val="007F519F"/>
    <w:rsid w:val="007F610D"/>
    <w:rsid w:val="00800C62"/>
    <w:rsid w:val="0080166D"/>
    <w:rsid w:val="00817A67"/>
    <w:rsid w:val="0082491D"/>
    <w:rsid w:val="00831CB6"/>
    <w:rsid w:val="00832CD8"/>
    <w:rsid w:val="0083614A"/>
    <w:rsid w:val="00844C27"/>
    <w:rsid w:val="00845653"/>
    <w:rsid w:val="00845724"/>
    <w:rsid w:val="00846892"/>
    <w:rsid w:val="00862804"/>
    <w:rsid w:val="0086545F"/>
    <w:rsid w:val="00865F26"/>
    <w:rsid w:val="00872E54"/>
    <w:rsid w:val="00880235"/>
    <w:rsid w:val="00880D4F"/>
    <w:rsid w:val="00885AF6"/>
    <w:rsid w:val="00890049"/>
    <w:rsid w:val="00892401"/>
    <w:rsid w:val="008977BD"/>
    <w:rsid w:val="008A706F"/>
    <w:rsid w:val="008B0512"/>
    <w:rsid w:val="008B28BB"/>
    <w:rsid w:val="008B6A5B"/>
    <w:rsid w:val="008D4A5E"/>
    <w:rsid w:val="008D5D97"/>
    <w:rsid w:val="008D70EC"/>
    <w:rsid w:val="008E2320"/>
    <w:rsid w:val="008E4728"/>
    <w:rsid w:val="008E4AF3"/>
    <w:rsid w:val="008F05E6"/>
    <w:rsid w:val="008F2E69"/>
    <w:rsid w:val="008F608D"/>
    <w:rsid w:val="00902C90"/>
    <w:rsid w:val="0090686A"/>
    <w:rsid w:val="0091267B"/>
    <w:rsid w:val="00915D3D"/>
    <w:rsid w:val="00921754"/>
    <w:rsid w:val="0092703A"/>
    <w:rsid w:val="00933A2B"/>
    <w:rsid w:val="009347FD"/>
    <w:rsid w:val="009447CC"/>
    <w:rsid w:val="0095454C"/>
    <w:rsid w:val="00983D24"/>
    <w:rsid w:val="00990994"/>
    <w:rsid w:val="00994DA9"/>
    <w:rsid w:val="009A1F3B"/>
    <w:rsid w:val="009A3FCC"/>
    <w:rsid w:val="009B1D54"/>
    <w:rsid w:val="009B438A"/>
    <w:rsid w:val="009C258B"/>
    <w:rsid w:val="009D61C9"/>
    <w:rsid w:val="009E50BB"/>
    <w:rsid w:val="009E5F10"/>
    <w:rsid w:val="009E6678"/>
    <w:rsid w:val="009F6565"/>
    <w:rsid w:val="00A05EB3"/>
    <w:rsid w:val="00A06CF7"/>
    <w:rsid w:val="00A074BC"/>
    <w:rsid w:val="00A107FF"/>
    <w:rsid w:val="00A10ABB"/>
    <w:rsid w:val="00A13446"/>
    <w:rsid w:val="00A20EF8"/>
    <w:rsid w:val="00A24C68"/>
    <w:rsid w:val="00A27BD1"/>
    <w:rsid w:val="00A37095"/>
    <w:rsid w:val="00A370E7"/>
    <w:rsid w:val="00A526A4"/>
    <w:rsid w:val="00A53AB6"/>
    <w:rsid w:val="00A54F49"/>
    <w:rsid w:val="00A55023"/>
    <w:rsid w:val="00A66A3A"/>
    <w:rsid w:val="00A81E65"/>
    <w:rsid w:val="00A97427"/>
    <w:rsid w:val="00AB2BD6"/>
    <w:rsid w:val="00AB506E"/>
    <w:rsid w:val="00AC695B"/>
    <w:rsid w:val="00AD0080"/>
    <w:rsid w:val="00AD551E"/>
    <w:rsid w:val="00AE12C6"/>
    <w:rsid w:val="00AE2114"/>
    <w:rsid w:val="00AF387A"/>
    <w:rsid w:val="00AF794B"/>
    <w:rsid w:val="00B00AD2"/>
    <w:rsid w:val="00B0214B"/>
    <w:rsid w:val="00B05DE8"/>
    <w:rsid w:val="00B06388"/>
    <w:rsid w:val="00B147A6"/>
    <w:rsid w:val="00B23507"/>
    <w:rsid w:val="00B3044D"/>
    <w:rsid w:val="00B41ED5"/>
    <w:rsid w:val="00B43484"/>
    <w:rsid w:val="00B54513"/>
    <w:rsid w:val="00B60F06"/>
    <w:rsid w:val="00B6101C"/>
    <w:rsid w:val="00B715D1"/>
    <w:rsid w:val="00B766D0"/>
    <w:rsid w:val="00B82C65"/>
    <w:rsid w:val="00B8336C"/>
    <w:rsid w:val="00B846D5"/>
    <w:rsid w:val="00B86E84"/>
    <w:rsid w:val="00B92B37"/>
    <w:rsid w:val="00BA04E1"/>
    <w:rsid w:val="00BA0573"/>
    <w:rsid w:val="00BA5593"/>
    <w:rsid w:val="00BA799E"/>
    <w:rsid w:val="00BB132C"/>
    <w:rsid w:val="00BC07CF"/>
    <w:rsid w:val="00BC317C"/>
    <w:rsid w:val="00BC4D7B"/>
    <w:rsid w:val="00BC7304"/>
    <w:rsid w:val="00BD0FE6"/>
    <w:rsid w:val="00BD1B38"/>
    <w:rsid w:val="00BD45D9"/>
    <w:rsid w:val="00BE1BDC"/>
    <w:rsid w:val="00BE34ED"/>
    <w:rsid w:val="00BE5075"/>
    <w:rsid w:val="00BE5D24"/>
    <w:rsid w:val="00BF6251"/>
    <w:rsid w:val="00BF6B40"/>
    <w:rsid w:val="00C20461"/>
    <w:rsid w:val="00C211CF"/>
    <w:rsid w:val="00C311E4"/>
    <w:rsid w:val="00C3305D"/>
    <w:rsid w:val="00C367C0"/>
    <w:rsid w:val="00C509EF"/>
    <w:rsid w:val="00C5261D"/>
    <w:rsid w:val="00C54E58"/>
    <w:rsid w:val="00C6290B"/>
    <w:rsid w:val="00C678FA"/>
    <w:rsid w:val="00C72074"/>
    <w:rsid w:val="00C7445D"/>
    <w:rsid w:val="00C84D2A"/>
    <w:rsid w:val="00C95CE4"/>
    <w:rsid w:val="00CA35C1"/>
    <w:rsid w:val="00CB29D9"/>
    <w:rsid w:val="00CB4375"/>
    <w:rsid w:val="00CB7005"/>
    <w:rsid w:val="00CC76C2"/>
    <w:rsid w:val="00CC7C8F"/>
    <w:rsid w:val="00CD0994"/>
    <w:rsid w:val="00CD0BBD"/>
    <w:rsid w:val="00CD1CEA"/>
    <w:rsid w:val="00CD25C3"/>
    <w:rsid w:val="00CD4263"/>
    <w:rsid w:val="00CE48E1"/>
    <w:rsid w:val="00CE4F5E"/>
    <w:rsid w:val="00CE63FE"/>
    <w:rsid w:val="00CF1F5D"/>
    <w:rsid w:val="00CF1F8B"/>
    <w:rsid w:val="00CF65AF"/>
    <w:rsid w:val="00CF6B22"/>
    <w:rsid w:val="00CF7A36"/>
    <w:rsid w:val="00D063D1"/>
    <w:rsid w:val="00D06BFD"/>
    <w:rsid w:val="00D1074D"/>
    <w:rsid w:val="00D12977"/>
    <w:rsid w:val="00D25439"/>
    <w:rsid w:val="00D3177E"/>
    <w:rsid w:val="00D32264"/>
    <w:rsid w:val="00D44B4A"/>
    <w:rsid w:val="00D55C43"/>
    <w:rsid w:val="00D56E3A"/>
    <w:rsid w:val="00D63725"/>
    <w:rsid w:val="00D7582A"/>
    <w:rsid w:val="00D83A7E"/>
    <w:rsid w:val="00D83C34"/>
    <w:rsid w:val="00D87AA6"/>
    <w:rsid w:val="00D9341C"/>
    <w:rsid w:val="00D93BFA"/>
    <w:rsid w:val="00DA1A62"/>
    <w:rsid w:val="00DC3C8F"/>
    <w:rsid w:val="00DE1335"/>
    <w:rsid w:val="00DE1AEE"/>
    <w:rsid w:val="00DE25C1"/>
    <w:rsid w:val="00DE2AA2"/>
    <w:rsid w:val="00DE454A"/>
    <w:rsid w:val="00DE558D"/>
    <w:rsid w:val="00DF19C9"/>
    <w:rsid w:val="00DF5E4E"/>
    <w:rsid w:val="00E1519A"/>
    <w:rsid w:val="00E1527A"/>
    <w:rsid w:val="00E15703"/>
    <w:rsid w:val="00E21CC8"/>
    <w:rsid w:val="00E239B9"/>
    <w:rsid w:val="00E41B3E"/>
    <w:rsid w:val="00E43206"/>
    <w:rsid w:val="00E526E2"/>
    <w:rsid w:val="00E61CF8"/>
    <w:rsid w:val="00E95987"/>
    <w:rsid w:val="00E97DA4"/>
    <w:rsid w:val="00EA172A"/>
    <w:rsid w:val="00EA4DE9"/>
    <w:rsid w:val="00EA6339"/>
    <w:rsid w:val="00EB06DF"/>
    <w:rsid w:val="00EB209A"/>
    <w:rsid w:val="00EC7FCB"/>
    <w:rsid w:val="00ED02F7"/>
    <w:rsid w:val="00ED7737"/>
    <w:rsid w:val="00EE03C7"/>
    <w:rsid w:val="00EE1660"/>
    <w:rsid w:val="00F05268"/>
    <w:rsid w:val="00F1586C"/>
    <w:rsid w:val="00F25C93"/>
    <w:rsid w:val="00F27CE1"/>
    <w:rsid w:val="00F31C85"/>
    <w:rsid w:val="00F3457B"/>
    <w:rsid w:val="00F3582B"/>
    <w:rsid w:val="00F37920"/>
    <w:rsid w:val="00F42780"/>
    <w:rsid w:val="00F45540"/>
    <w:rsid w:val="00F5086C"/>
    <w:rsid w:val="00F539E4"/>
    <w:rsid w:val="00F53A0C"/>
    <w:rsid w:val="00F562E4"/>
    <w:rsid w:val="00F60116"/>
    <w:rsid w:val="00F66E3E"/>
    <w:rsid w:val="00F6790D"/>
    <w:rsid w:val="00F714A0"/>
    <w:rsid w:val="00F86637"/>
    <w:rsid w:val="00F90AA0"/>
    <w:rsid w:val="00F917B4"/>
    <w:rsid w:val="00FA04B5"/>
    <w:rsid w:val="00FA0A19"/>
    <w:rsid w:val="00FB09BB"/>
    <w:rsid w:val="00FB154F"/>
    <w:rsid w:val="00FC514D"/>
    <w:rsid w:val="00FC75FC"/>
    <w:rsid w:val="00FD5107"/>
    <w:rsid w:val="00FE0092"/>
    <w:rsid w:val="00FE0B1A"/>
    <w:rsid w:val="00FE6472"/>
    <w:rsid w:val="00FF0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04"/>
    <w:rPr>
      <w:rFonts w:eastAsiaTheme="minorEastAsia"/>
      <w:lang w:eastAsia="uk-UA"/>
    </w:rPr>
  </w:style>
  <w:style w:type="paragraph" w:styleId="1">
    <w:name w:val="heading 1"/>
    <w:basedOn w:val="a"/>
    <w:next w:val="a"/>
    <w:link w:val="10"/>
    <w:qFormat/>
    <w:rsid w:val="00271BE3"/>
    <w:pPr>
      <w:keepNext/>
      <w:spacing w:before="240" w:after="60" w:line="240" w:lineRule="auto"/>
      <w:outlineLvl w:val="0"/>
    </w:pPr>
    <w:rPr>
      <w:rFonts w:ascii="Cambria" w:eastAsia="Times New Roman" w:hAnsi="Cambria" w:cs="Times New Roman"/>
      <w:b/>
      <w:bCs/>
      <w:kern w:val="32"/>
      <w:sz w:val="32"/>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F7A42"/>
    <w:pPr>
      <w:spacing w:before="100" w:beforeAutospacing="1" w:after="100" w:afterAutospacing="1" w:line="240" w:lineRule="auto"/>
    </w:pPr>
    <w:rPr>
      <w:rFonts w:ascii="Times New Roman" w:hAnsi="Times New Roman" w:cs="Times New Roman"/>
      <w:sz w:val="24"/>
      <w:szCs w:val="24"/>
    </w:rPr>
  </w:style>
  <w:style w:type="character" w:styleId="a5">
    <w:name w:val="annotation reference"/>
    <w:basedOn w:val="a0"/>
    <w:uiPriority w:val="99"/>
    <w:semiHidden/>
    <w:unhideWhenUsed/>
    <w:rsid w:val="000879C0"/>
    <w:rPr>
      <w:sz w:val="16"/>
      <w:szCs w:val="16"/>
    </w:rPr>
  </w:style>
  <w:style w:type="paragraph" w:styleId="a6">
    <w:name w:val="annotation text"/>
    <w:basedOn w:val="a"/>
    <w:link w:val="a7"/>
    <w:uiPriority w:val="99"/>
    <w:unhideWhenUsed/>
    <w:rsid w:val="000879C0"/>
    <w:pPr>
      <w:spacing w:line="240" w:lineRule="auto"/>
    </w:pPr>
    <w:rPr>
      <w:sz w:val="20"/>
      <w:szCs w:val="20"/>
    </w:rPr>
  </w:style>
  <w:style w:type="character" w:customStyle="1" w:styleId="a7">
    <w:name w:val="Текст примечания Знак"/>
    <w:basedOn w:val="a0"/>
    <w:link w:val="a6"/>
    <w:uiPriority w:val="99"/>
    <w:rsid w:val="000879C0"/>
    <w:rPr>
      <w:rFonts w:eastAsiaTheme="minorEastAsia"/>
      <w:sz w:val="20"/>
      <w:szCs w:val="20"/>
      <w:lang w:eastAsia="uk-UA"/>
    </w:rPr>
  </w:style>
  <w:style w:type="paragraph" w:styleId="a8">
    <w:name w:val="annotation subject"/>
    <w:basedOn w:val="a6"/>
    <w:next w:val="a6"/>
    <w:link w:val="a9"/>
    <w:uiPriority w:val="99"/>
    <w:semiHidden/>
    <w:unhideWhenUsed/>
    <w:rsid w:val="000879C0"/>
    <w:rPr>
      <w:b/>
      <w:bCs/>
    </w:rPr>
  </w:style>
  <w:style w:type="character" w:customStyle="1" w:styleId="a9">
    <w:name w:val="Тема примечания Знак"/>
    <w:basedOn w:val="a7"/>
    <w:link w:val="a8"/>
    <w:uiPriority w:val="99"/>
    <w:semiHidden/>
    <w:rsid w:val="000879C0"/>
    <w:rPr>
      <w:rFonts w:eastAsiaTheme="minorEastAsia"/>
      <w:b/>
      <w:bCs/>
      <w:sz w:val="20"/>
      <w:szCs w:val="20"/>
      <w:lang w:eastAsia="uk-UA"/>
    </w:rPr>
  </w:style>
  <w:style w:type="paragraph" w:styleId="aa">
    <w:name w:val="Balloon Text"/>
    <w:basedOn w:val="a"/>
    <w:link w:val="ab"/>
    <w:uiPriority w:val="99"/>
    <w:semiHidden/>
    <w:unhideWhenUsed/>
    <w:rsid w:val="000879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9C0"/>
    <w:rPr>
      <w:rFonts w:ascii="Tahoma" w:eastAsiaTheme="minorEastAsia" w:hAnsi="Tahoma" w:cs="Tahoma"/>
      <w:sz w:val="16"/>
      <w:szCs w:val="16"/>
      <w:lang w:eastAsia="uk-UA"/>
    </w:rPr>
  </w:style>
  <w:style w:type="character" w:customStyle="1" w:styleId="10">
    <w:name w:val="Заголовок 1 Знак"/>
    <w:basedOn w:val="a0"/>
    <w:link w:val="1"/>
    <w:rsid w:val="00271BE3"/>
    <w:rPr>
      <w:rFonts w:ascii="Cambria" w:eastAsia="Times New Roman" w:hAnsi="Cambria" w:cs="Times New Roman"/>
      <w:b/>
      <w:bCs/>
      <w:kern w:val="32"/>
      <w:sz w:val="32"/>
      <w:szCs w:val="32"/>
      <w:lang w:eastAsia="x-none"/>
    </w:rPr>
  </w:style>
  <w:style w:type="paragraph" w:customStyle="1" w:styleId="ac">
    <w:name w:val="Нормальний текст"/>
    <w:basedOn w:val="a"/>
    <w:rsid w:val="00A06CF7"/>
    <w:pPr>
      <w:spacing w:before="120" w:after="0" w:line="240" w:lineRule="auto"/>
      <w:ind w:firstLine="567"/>
    </w:pPr>
    <w:rPr>
      <w:rFonts w:ascii="Antiqua" w:eastAsia="Times New Roman" w:hAnsi="Antiqua" w:cs="Times New Roman"/>
      <w:sz w:val="26"/>
      <w:szCs w:val="20"/>
      <w:lang w:eastAsia="ru-RU"/>
    </w:rPr>
  </w:style>
  <w:style w:type="paragraph" w:styleId="ad">
    <w:name w:val="header"/>
    <w:basedOn w:val="a"/>
    <w:link w:val="ae"/>
    <w:uiPriority w:val="99"/>
    <w:unhideWhenUsed/>
    <w:rsid w:val="00D56E3A"/>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D56E3A"/>
    <w:rPr>
      <w:rFonts w:eastAsiaTheme="minorEastAsia"/>
      <w:lang w:eastAsia="uk-UA"/>
    </w:rPr>
  </w:style>
  <w:style w:type="paragraph" w:styleId="af">
    <w:name w:val="footer"/>
    <w:basedOn w:val="a"/>
    <w:link w:val="af0"/>
    <w:uiPriority w:val="99"/>
    <w:unhideWhenUsed/>
    <w:rsid w:val="00D56E3A"/>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D56E3A"/>
    <w:rPr>
      <w:rFonts w:eastAsiaTheme="minorEastAsia"/>
      <w:lang w:eastAsia="uk-UA"/>
    </w:rPr>
  </w:style>
  <w:style w:type="paragraph" w:styleId="af1">
    <w:name w:val="Title"/>
    <w:basedOn w:val="a"/>
    <w:next w:val="a"/>
    <w:link w:val="af2"/>
    <w:uiPriority w:val="10"/>
    <w:qFormat/>
    <w:rsid w:val="00487C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487CEE"/>
    <w:rPr>
      <w:rFonts w:asciiTheme="majorHAnsi" w:eastAsiaTheme="majorEastAsia" w:hAnsiTheme="majorHAnsi" w:cstheme="majorBidi"/>
      <w:spacing w:val="-10"/>
      <w:kern w:val="28"/>
      <w:sz w:val="56"/>
      <w:szCs w:val="56"/>
      <w:lang w:eastAsia="uk-UA"/>
    </w:rPr>
  </w:style>
  <w:style w:type="character" w:styleId="af3">
    <w:name w:val="Hyperlink"/>
    <w:basedOn w:val="a0"/>
    <w:uiPriority w:val="99"/>
    <w:unhideWhenUsed/>
    <w:rsid w:val="00487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04"/>
    <w:rPr>
      <w:rFonts w:eastAsiaTheme="minorEastAsia"/>
      <w:lang w:eastAsia="uk-UA"/>
    </w:rPr>
  </w:style>
  <w:style w:type="paragraph" w:styleId="1">
    <w:name w:val="heading 1"/>
    <w:basedOn w:val="a"/>
    <w:next w:val="a"/>
    <w:link w:val="10"/>
    <w:qFormat/>
    <w:rsid w:val="00271BE3"/>
    <w:pPr>
      <w:keepNext/>
      <w:spacing w:before="240" w:after="60" w:line="240" w:lineRule="auto"/>
      <w:outlineLvl w:val="0"/>
    </w:pPr>
    <w:rPr>
      <w:rFonts w:ascii="Cambria" w:eastAsia="Times New Roman" w:hAnsi="Cambria" w:cs="Times New Roman"/>
      <w:b/>
      <w:bCs/>
      <w:kern w:val="32"/>
      <w:sz w:val="32"/>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3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F7A42"/>
    <w:pPr>
      <w:spacing w:before="100" w:beforeAutospacing="1" w:after="100" w:afterAutospacing="1" w:line="240" w:lineRule="auto"/>
    </w:pPr>
    <w:rPr>
      <w:rFonts w:ascii="Times New Roman" w:hAnsi="Times New Roman" w:cs="Times New Roman"/>
      <w:sz w:val="24"/>
      <w:szCs w:val="24"/>
    </w:rPr>
  </w:style>
  <w:style w:type="character" w:styleId="a5">
    <w:name w:val="annotation reference"/>
    <w:basedOn w:val="a0"/>
    <w:uiPriority w:val="99"/>
    <w:semiHidden/>
    <w:unhideWhenUsed/>
    <w:rsid w:val="000879C0"/>
    <w:rPr>
      <w:sz w:val="16"/>
      <w:szCs w:val="16"/>
    </w:rPr>
  </w:style>
  <w:style w:type="paragraph" w:styleId="a6">
    <w:name w:val="annotation text"/>
    <w:basedOn w:val="a"/>
    <w:link w:val="a7"/>
    <w:uiPriority w:val="99"/>
    <w:unhideWhenUsed/>
    <w:rsid w:val="000879C0"/>
    <w:pPr>
      <w:spacing w:line="240" w:lineRule="auto"/>
    </w:pPr>
    <w:rPr>
      <w:sz w:val="20"/>
      <w:szCs w:val="20"/>
    </w:rPr>
  </w:style>
  <w:style w:type="character" w:customStyle="1" w:styleId="a7">
    <w:name w:val="Текст примечания Знак"/>
    <w:basedOn w:val="a0"/>
    <w:link w:val="a6"/>
    <w:uiPriority w:val="99"/>
    <w:rsid w:val="000879C0"/>
    <w:rPr>
      <w:rFonts w:eastAsiaTheme="minorEastAsia"/>
      <w:sz w:val="20"/>
      <w:szCs w:val="20"/>
      <w:lang w:eastAsia="uk-UA"/>
    </w:rPr>
  </w:style>
  <w:style w:type="paragraph" w:styleId="a8">
    <w:name w:val="annotation subject"/>
    <w:basedOn w:val="a6"/>
    <w:next w:val="a6"/>
    <w:link w:val="a9"/>
    <w:uiPriority w:val="99"/>
    <w:semiHidden/>
    <w:unhideWhenUsed/>
    <w:rsid w:val="000879C0"/>
    <w:rPr>
      <w:b/>
      <w:bCs/>
    </w:rPr>
  </w:style>
  <w:style w:type="character" w:customStyle="1" w:styleId="a9">
    <w:name w:val="Тема примечания Знак"/>
    <w:basedOn w:val="a7"/>
    <w:link w:val="a8"/>
    <w:uiPriority w:val="99"/>
    <w:semiHidden/>
    <w:rsid w:val="000879C0"/>
    <w:rPr>
      <w:rFonts w:eastAsiaTheme="minorEastAsia"/>
      <w:b/>
      <w:bCs/>
      <w:sz w:val="20"/>
      <w:szCs w:val="20"/>
      <w:lang w:eastAsia="uk-UA"/>
    </w:rPr>
  </w:style>
  <w:style w:type="paragraph" w:styleId="aa">
    <w:name w:val="Balloon Text"/>
    <w:basedOn w:val="a"/>
    <w:link w:val="ab"/>
    <w:uiPriority w:val="99"/>
    <w:semiHidden/>
    <w:unhideWhenUsed/>
    <w:rsid w:val="000879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9C0"/>
    <w:rPr>
      <w:rFonts w:ascii="Tahoma" w:eastAsiaTheme="minorEastAsia" w:hAnsi="Tahoma" w:cs="Tahoma"/>
      <w:sz w:val="16"/>
      <w:szCs w:val="16"/>
      <w:lang w:eastAsia="uk-UA"/>
    </w:rPr>
  </w:style>
  <w:style w:type="character" w:customStyle="1" w:styleId="10">
    <w:name w:val="Заголовок 1 Знак"/>
    <w:basedOn w:val="a0"/>
    <w:link w:val="1"/>
    <w:rsid w:val="00271BE3"/>
    <w:rPr>
      <w:rFonts w:ascii="Cambria" w:eastAsia="Times New Roman" w:hAnsi="Cambria" w:cs="Times New Roman"/>
      <w:b/>
      <w:bCs/>
      <w:kern w:val="32"/>
      <w:sz w:val="32"/>
      <w:szCs w:val="32"/>
      <w:lang w:eastAsia="x-none"/>
    </w:rPr>
  </w:style>
  <w:style w:type="paragraph" w:customStyle="1" w:styleId="ac">
    <w:name w:val="Нормальний текст"/>
    <w:basedOn w:val="a"/>
    <w:rsid w:val="00A06CF7"/>
    <w:pPr>
      <w:spacing w:before="120" w:after="0" w:line="240" w:lineRule="auto"/>
      <w:ind w:firstLine="567"/>
    </w:pPr>
    <w:rPr>
      <w:rFonts w:ascii="Antiqua" w:eastAsia="Times New Roman" w:hAnsi="Antiqua" w:cs="Times New Roman"/>
      <w:sz w:val="26"/>
      <w:szCs w:val="20"/>
      <w:lang w:eastAsia="ru-RU"/>
    </w:rPr>
  </w:style>
  <w:style w:type="paragraph" w:styleId="ad">
    <w:name w:val="header"/>
    <w:basedOn w:val="a"/>
    <w:link w:val="ae"/>
    <w:uiPriority w:val="99"/>
    <w:unhideWhenUsed/>
    <w:rsid w:val="00D56E3A"/>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D56E3A"/>
    <w:rPr>
      <w:rFonts w:eastAsiaTheme="minorEastAsia"/>
      <w:lang w:eastAsia="uk-UA"/>
    </w:rPr>
  </w:style>
  <w:style w:type="paragraph" w:styleId="af">
    <w:name w:val="footer"/>
    <w:basedOn w:val="a"/>
    <w:link w:val="af0"/>
    <w:uiPriority w:val="99"/>
    <w:unhideWhenUsed/>
    <w:rsid w:val="00D56E3A"/>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D56E3A"/>
    <w:rPr>
      <w:rFonts w:eastAsiaTheme="minorEastAsia"/>
      <w:lang w:eastAsia="uk-UA"/>
    </w:rPr>
  </w:style>
  <w:style w:type="paragraph" w:styleId="af1">
    <w:name w:val="Title"/>
    <w:basedOn w:val="a"/>
    <w:next w:val="a"/>
    <w:link w:val="af2"/>
    <w:uiPriority w:val="10"/>
    <w:qFormat/>
    <w:rsid w:val="00487C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487CEE"/>
    <w:rPr>
      <w:rFonts w:asciiTheme="majorHAnsi" w:eastAsiaTheme="majorEastAsia" w:hAnsiTheme="majorHAnsi" w:cstheme="majorBidi"/>
      <w:spacing w:val="-10"/>
      <w:kern w:val="28"/>
      <w:sz w:val="56"/>
      <w:szCs w:val="56"/>
      <w:lang w:eastAsia="uk-UA"/>
    </w:rPr>
  </w:style>
  <w:style w:type="character" w:styleId="af3">
    <w:name w:val="Hyperlink"/>
    <w:basedOn w:val="a0"/>
    <w:uiPriority w:val="99"/>
    <w:unhideWhenUsed/>
    <w:rsid w:val="00487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765">
      <w:bodyDiv w:val="1"/>
      <w:marLeft w:val="0"/>
      <w:marRight w:val="0"/>
      <w:marTop w:val="0"/>
      <w:marBottom w:val="0"/>
      <w:divBdr>
        <w:top w:val="none" w:sz="0" w:space="0" w:color="auto"/>
        <w:left w:val="none" w:sz="0" w:space="0" w:color="auto"/>
        <w:bottom w:val="none" w:sz="0" w:space="0" w:color="auto"/>
        <w:right w:val="none" w:sz="0" w:space="0" w:color="auto"/>
      </w:divBdr>
    </w:div>
    <w:div w:id="146360759">
      <w:bodyDiv w:val="1"/>
      <w:marLeft w:val="0"/>
      <w:marRight w:val="0"/>
      <w:marTop w:val="0"/>
      <w:marBottom w:val="0"/>
      <w:divBdr>
        <w:top w:val="none" w:sz="0" w:space="0" w:color="auto"/>
        <w:left w:val="none" w:sz="0" w:space="0" w:color="auto"/>
        <w:bottom w:val="none" w:sz="0" w:space="0" w:color="auto"/>
        <w:right w:val="none" w:sz="0" w:space="0" w:color="auto"/>
      </w:divBdr>
    </w:div>
    <w:div w:id="199051131">
      <w:bodyDiv w:val="1"/>
      <w:marLeft w:val="0"/>
      <w:marRight w:val="0"/>
      <w:marTop w:val="0"/>
      <w:marBottom w:val="0"/>
      <w:divBdr>
        <w:top w:val="none" w:sz="0" w:space="0" w:color="auto"/>
        <w:left w:val="none" w:sz="0" w:space="0" w:color="auto"/>
        <w:bottom w:val="none" w:sz="0" w:space="0" w:color="auto"/>
        <w:right w:val="none" w:sz="0" w:space="0" w:color="auto"/>
      </w:divBdr>
    </w:div>
    <w:div w:id="500700445">
      <w:bodyDiv w:val="1"/>
      <w:marLeft w:val="0"/>
      <w:marRight w:val="0"/>
      <w:marTop w:val="0"/>
      <w:marBottom w:val="0"/>
      <w:divBdr>
        <w:top w:val="none" w:sz="0" w:space="0" w:color="auto"/>
        <w:left w:val="none" w:sz="0" w:space="0" w:color="auto"/>
        <w:bottom w:val="none" w:sz="0" w:space="0" w:color="auto"/>
        <w:right w:val="none" w:sz="0" w:space="0" w:color="auto"/>
      </w:divBdr>
    </w:div>
    <w:div w:id="605306240">
      <w:bodyDiv w:val="1"/>
      <w:marLeft w:val="0"/>
      <w:marRight w:val="0"/>
      <w:marTop w:val="0"/>
      <w:marBottom w:val="0"/>
      <w:divBdr>
        <w:top w:val="none" w:sz="0" w:space="0" w:color="auto"/>
        <w:left w:val="none" w:sz="0" w:space="0" w:color="auto"/>
        <w:bottom w:val="none" w:sz="0" w:space="0" w:color="auto"/>
        <w:right w:val="none" w:sz="0" w:space="0" w:color="auto"/>
      </w:divBdr>
    </w:div>
    <w:div w:id="662900283">
      <w:bodyDiv w:val="1"/>
      <w:marLeft w:val="0"/>
      <w:marRight w:val="0"/>
      <w:marTop w:val="0"/>
      <w:marBottom w:val="0"/>
      <w:divBdr>
        <w:top w:val="none" w:sz="0" w:space="0" w:color="auto"/>
        <w:left w:val="none" w:sz="0" w:space="0" w:color="auto"/>
        <w:bottom w:val="none" w:sz="0" w:space="0" w:color="auto"/>
        <w:right w:val="none" w:sz="0" w:space="0" w:color="auto"/>
      </w:divBdr>
    </w:div>
    <w:div w:id="891116586">
      <w:bodyDiv w:val="1"/>
      <w:marLeft w:val="0"/>
      <w:marRight w:val="0"/>
      <w:marTop w:val="0"/>
      <w:marBottom w:val="0"/>
      <w:divBdr>
        <w:top w:val="none" w:sz="0" w:space="0" w:color="auto"/>
        <w:left w:val="none" w:sz="0" w:space="0" w:color="auto"/>
        <w:bottom w:val="none" w:sz="0" w:space="0" w:color="auto"/>
        <w:right w:val="none" w:sz="0" w:space="0" w:color="auto"/>
      </w:divBdr>
    </w:div>
    <w:div w:id="964774103">
      <w:bodyDiv w:val="1"/>
      <w:marLeft w:val="0"/>
      <w:marRight w:val="0"/>
      <w:marTop w:val="0"/>
      <w:marBottom w:val="0"/>
      <w:divBdr>
        <w:top w:val="none" w:sz="0" w:space="0" w:color="auto"/>
        <w:left w:val="none" w:sz="0" w:space="0" w:color="auto"/>
        <w:bottom w:val="none" w:sz="0" w:space="0" w:color="auto"/>
        <w:right w:val="none" w:sz="0" w:space="0" w:color="auto"/>
      </w:divBdr>
    </w:div>
    <w:div w:id="1334067403">
      <w:bodyDiv w:val="1"/>
      <w:marLeft w:val="0"/>
      <w:marRight w:val="0"/>
      <w:marTop w:val="0"/>
      <w:marBottom w:val="0"/>
      <w:divBdr>
        <w:top w:val="none" w:sz="0" w:space="0" w:color="auto"/>
        <w:left w:val="none" w:sz="0" w:space="0" w:color="auto"/>
        <w:bottom w:val="none" w:sz="0" w:space="0" w:color="auto"/>
        <w:right w:val="none" w:sz="0" w:space="0" w:color="auto"/>
      </w:divBdr>
    </w:div>
    <w:div w:id="1339652373">
      <w:bodyDiv w:val="1"/>
      <w:marLeft w:val="0"/>
      <w:marRight w:val="0"/>
      <w:marTop w:val="0"/>
      <w:marBottom w:val="0"/>
      <w:divBdr>
        <w:top w:val="none" w:sz="0" w:space="0" w:color="auto"/>
        <w:left w:val="none" w:sz="0" w:space="0" w:color="auto"/>
        <w:bottom w:val="none" w:sz="0" w:space="0" w:color="auto"/>
        <w:right w:val="none" w:sz="0" w:space="0" w:color="auto"/>
      </w:divBdr>
    </w:div>
    <w:div w:id="1404375409">
      <w:bodyDiv w:val="1"/>
      <w:marLeft w:val="0"/>
      <w:marRight w:val="0"/>
      <w:marTop w:val="0"/>
      <w:marBottom w:val="0"/>
      <w:divBdr>
        <w:top w:val="none" w:sz="0" w:space="0" w:color="auto"/>
        <w:left w:val="none" w:sz="0" w:space="0" w:color="auto"/>
        <w:bottom w:val="none" w:sz="0" w:space="0" w:color="auto"/>
        <w:right w:val="none" w:sz="0" w:space="0" w:color="auto"/>
      </w:divBdr>
    </w:div>
    <w:div w:id="1425301399">
      <w:bodyDiv w:val="1"/>
      <w:marLeft w:val="0"/>
      <w:marRight w:val="0"/>
      <w:marTop w:val="0"/>
      <w:marBottom w:val="0"/>
      <w:divBdr>
        <w:top w:val="none" w:sz="0" w:space="0" w:color="auto"/>
        <w:left w:val="none" w:sz="0" w:space="0" w:color="auto"/>
        <w:bottom w:val="none" w:sz="0" w:space="0" w:color="auto"/>
        <w:right w:val="none" w:sz="0" w:space="0" w:color="auto"/>
      </w:divBdr>
    </w:div>
    <w:div w:id="1491557891">
      <w:bodyDiv w:val="1"/>
      <w:marLeft w:val="0"/>
      <w:marRight w:val="0"/>
      <w:marTop w:val="0"/>
      <w:marBottom w:val="0"/>
      <w:divBdr>
        <w:top w:val="none" w:sz="0" w:space="0" w:color="auto"/>
        <w:left w:val="none" w:sz="0" w:space="0" w:color="auto"/>
        <w:bottom w:val="none" w:sz="0" w:space="0" w:color="auto"/>
        <w:right w:val="none" w:sz="0" w:space="0" w:color="auto"/>
      </w:divBdr>
    </w:div>
    <w:div w:id="1697077838">
      <w:bodyDiv w:val="1"/>
      <w:marLeft w:val="0"/>
      <w:marRight w:val="0"/>
      <w:marTop w:val="0"/>
      <w:marBottom w:val="0"/>
      <w:divBdr>
        <w:top w:val="none" w:sz="0" w:space="0" w:color="auto"/>
        <w:left w:val="none" w:sz="0" w:space="0" w:color="auto"/>
        <w:bottom w:val="none" w:sz="0" w:space="0" w:color="auto"/>
        <w:right w:val="none" w:sz="0" w:space="0" w:color="auto"/>
      </w:divBdr>
    </w:div>
    <w:div w:id="1731658580">
      <w:bodyDiv w:val="1"/>
      <w:marLeft w:val="0"/>
      <w:marRight w:val="0"/>
      <w:marTop w:val="0"/>
      <w:marBottom w:val="0"/>
      <w:divBdr>
        <w:top w:val="none" w:sz="0" w:space="0" w:color="auto"/>
        <w:left w:val="none" w:sz="0" w:space="0" w:color="auto"/>
        <w:bottom w:val="none" w:sz="0" w:space="0" w:color="auto"/>
        <w:right w:val="none" w:sz="0" w:space="0" w:color="auto"/>
      </w:divBdr>
    </w:div>
    <w:div w:id="1745686993">
      <w:bodyDiv w:val="1"/>
      <w:marLeft w:val="0"/>
      <w:marRight w:val="0"/>
      <w:marTop w:val="0"/>
      <w:marBottom w:val="0"/>
      <w:divBdr>
        <w:top w:val="none" w:sz="0" w:space="0" w:color="auto"/>
        <w:left w:val="none" w:sz="0" w:space="0" w:color="auto"/>
        <w:bottom w:val="none" w:sz="0" w:space="0" w:color="auto"/>
        <w:right w:val="none" w:sz="0" w:space="0" w:color="auto"/>
      </w:divBdr>
    </w:div>
    <w:div w:id="1775978488">
      <w:bodyDiv w:val="1"/>
      <w:marLeft w:val="0"/>
      <w:marRight w:val="0"/>
      <w:marTop w:val="0"/>
      <w:marBottom w:val="0"/>
      <w:divBdr>
        <w:top w:val="none" w:sz="0" w:space="0" w:color="auto"/>
        <w:left w:val="none" w:sz="0" w:space="0" w:color="auto"/>
        <w:bottom w:val="none" w:sz="0" w:space="0" w:color="auto"/>
        <w:right w:val="none" w:sz="0" w:space="0" w:color="auto"/>
      </w:divBdr>
    </w:div>
    <w:div w:id="1790120927">
      <w:bodyDiv w:val="1"/>
      <w:marLeft w:val="0"/>
      <w:marRight w:val="0"/>
      <w:marTop w:val="0"/>
      <w:marBottom w:val="0"/>
      <w:divBdr>
        <w:top w:val="none" w:sz="0" w:space="0" w:color="auto"/>
        <w:left w:val="none" w:sz="0" w:space="0" w:color="auto"/>
        <w:bottom w:val="none" w:sz="0" w:space="0" w:color="auto"/>
        <w:right w:val="none" w:sz="0" w:space="0" w:color="auto"/>
      </w:divBdr>
    </w:div>
    <w:div w:id="1831749857">
      <w:bodyDiv w:val="1"/>
      <w:marLeft w:val="0"/>
      <w:marRight w:val="0"/>
      <w:marTop w:val="0"/>
      <w:marBottom w:val="0"/>
      <w:divBdr>
        <w:top w:val="none" w:sz="0" w:space="0" w:color="auto"/>
        <w:left w:val="none" w:sz="0" w:space="0" w:color="auto"/>
        <w:bottom w:val="none" w:sz="0" w:space="0" w:color="auto"/>
        <w:right w:val="none" w:sz="0" w:space="0" w:color="auto"/>
      </w:divBdr>
    </w:div>
    <w:div w:id="1905214705">
      <w:bodyDiv w:val="1"/>
      <w:marLeft w:val="0"/>
      <w:marRight w:val="0"/>
      <w:marTop w:val="0"/>
      <w:marBottom w:val="0"/>
      <w:divBdr>
        <w:top w:val="none" w:sz="0" w:space="0" w:color="auto"/>
        <w:left w:val="none" w:sz="0" w:space="0" w:color="auto"/>
        <w:bottom w:val="none" w:sz="0" w:space="0" w:color="auto"/>
        <w:right w:val="none" w:sz="0" w:space="0" w:color="auto"/>
      </w:divBdr>
    </w:div>
    <w:div w:id="1936551792">
      <w:bodyDiv w:val="1"/>
      <w:marLeft w:val="0"/>
      <w:marRight w:val="0"/>
      <w:marTop w:val="0"/>
      <w:marBottom w:val="0"/>
      <w:divBdr>
        <w:top w:val="none" w:sz="0" w:space="0" w:color="auto"/>
        <w:left w:val="none" w:sz="0" w:space="0" w:color="auto"/>
        <w:bottom w:val="none" w:sz="0" w:space="0" w:color="auto"/>
        <w:right w:val="none" w:sz="0" w:space="0" w:color="auto"/>
      </w:divBdr>
    </w:div>
    <w:div w:id="2062630266">
      <w:bodyDiv w:val="1"/>
      <w:marLeft w:val="0"/>
      <w:marRight w:val="0"/>
      <w:marTop w:val="0"/>
      <w:marBottom w:val="0"/>
      <w:divBdr>
        <w:top w:val="none" w:sz="0" w:space="0" w:color="auto"/>
        <w:left w:val="none" w:sz="0" w:space="0" w:color="auto"/>
        <w:bottom w:val="none" w:sz="0" w:space="0" w:color="auto"/>
        <w:right w:val="none" w:sz="0" w:space="0" w:color="auto"/>
      </w:divBdr>
    </w:div>
    <w:div w:id="2080708282">
      <w:bodyDiv w:val="1"/>
      <w:marLeft w:val="0"/>
      <w:marRight w:val="0"/>
      <w:marTop w:val="0"/>
      <w:marBottom w:val="0"/>
      <w:divBdr>
        <w:top w:val="none" w:sz="0" w:space="0" w:color="auto"/>
        <w:left w:val="none" w:sz="0" w:space="0" w:color="auto"/>
        <w:bottom w:val="none" w:sz="0" w:space="0" w:color="auto"/>
        <w:right w:val="none" w:sz="0" w:space="0" w:color="auto"/>
      </w:divBdr>
    </w:div>
    <w:div w:id="20809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zakon.rada.gov.ua/rada/show/v0069201-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883-2018-%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zakon.rada.gov.ua/laws/show/2246-19"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zakon.rada.gov.ua/laws/show/815-2012-%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95F85084727864D943A1640386A6A57" ma:contentTypeVersion="9" ma:contentTypeDescription="Створення нового документа." ma:contentTypeScope="" ma:versionID="f735ecf815ac937e532e04e570f5c363">
  <xsd:schema xmlns:xsd="http://www.w3.org/2001/XMLSchema" xmlns:xs="http://www.w3.org/2001/XMLSchema" xmlns:p="http://schemas.microsoft.com/office/2006/metadata/properties" xmlns:ns2="acedc1b3-a6a6-4744-bb8f-c9b717f8a9c9" targetNamespace="http://schemas.microsoft.com/office/2006/metadata/properties" ma:root="true" ma:fieldsID="b60be84027587505665ece797e11c4db"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cedc1b3-a6a6-4744-bb8f-c9b717f8a9c9">MFWF-347-112900</_dlc_DocId>
    <_dlc_DocIdUrl xmlns="acedc1b3-a6a6-4744-bb8f-c9b717f8a9c9">
      <Url>http://workflow/12000/12100/12130/_layouts/DocIdRedir.aspx?ID=MFWF-347-112900</Url>
      <Description>MFWF-347-112900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078D-FE40-42A1-8B47-D46B78F3AE18}">
  <ds:schemaRefs>
    <ds:schemaRef ds:uri="http://schemas.microsoft.com/sharepoint/v3/contenttype/forms"/>
  </ds:schemaRefs>
</ds:datastoreItem>
</file>

<file path=customXml/itemProps2.xml><?xml version="1.0" encoding="utf-8"?>
<ds:datastoreItem xmlns:ds="http://schemas.openxmlformats.org/officeDocument/2006/customXml" ds:itemID="{F63BC90B-5A04-428E-BCA7-75CC0E39D09E}">
  <ds:schemaRefs>
    <ds:schemaRef ds:uri="http://schemas.microsoft.com/sharepoint/events"/>
  </ds:schemaRefs>
</ds:datastoreItem>
</file>

<file path=customXml/itemProps3.xml><?xml version="1.0" encoding="utf-8"?>
<ds:datastoreItem xmlns:ds="http://schemas.openxmlformats.org/officeDocument/2006/customXml" ds:itemID="{B5970CEB-6354-43F3-986C-661145B5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c1b3-a6a6-4744-bb8f-c9b717f8a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06CC7-BAA3-41F4-9DE1-5CD9E46130F3}">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acedc1b3-a6a6-4744-bb8f-c9b717f8a9c9"/>
  </ds:schemaRefs>
</ds:datastoreItem>
</file>

<file path=customXml/itemProps5.xml><?xml version="1.0" encoding="utf-8"?>
<ds:datastoreItem xmlns:ds="http://schemas.openxmlformats.org/officeDocument/2006/customXml" ds:itemID="{5D564017-F363-4F7E-9956-9EC3BD3C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14769</Words>
  <Characters>8419</Characters>
  <Application>Microsoft Office Word</Application>
  <DocSecurity>4</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cp:lastPrinted>2019-04-23T14:01:00Z</cp:lastPrinted>
  <dcterms:created xsi:type="dcterms:W3CDTF">2019-07-08T15:13:00Z</dcterms:created>
  <dcterms:modified xsi:type="dcterms:W3CDTF">2019-07-08T15:13:00Z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0x010100795F85084727864D943A1640386A6A57</vt:lpwstr>
  </property>
  <property fmtid="{D5CDD505-2E9C-101B-9397-08002B2CF9AE}" pid="3" name="_dlc_DocIdItemGuid">
    <vt:lpwstr>a8cf7453-cf8a-4790-8b01-fc7b6adc52d3</vt:lpwstr>
  </property>
</Properties>
</file>