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B7" w:rsidRPr="00B4128F" w:rsidRDefault="003677B7" w:rsidP="003677B7">
      <w:pPr>
        <w:keepNext/>
        <w:keepLines/>
        <w:ind w:left="11340"/>
        <w:jc w:val="center"/>
        <w:rPr>
          <w:rFonts w:ascii="Times New Roman" w:hAnsi="Times New Roman"/>
          <w:color w:val="000000"/>
          <w:sz w:val="28"/>
          <w:szCs w:val="28"/>
        </w:rPr>
      </w:pPr>
      <w:bookmarkStart w:id="0" w:name="_gjdgxs"/>
      <w:bookmarkStart w:id="1" w:name="_GoBack"/>
      <w:bookmarkEnd w:id="0"/>
      <w:bookmarkEnd w:id="1"/>
      <w:r w:rsidRPr="00B4128F">
        <w:rPr>
          <w:rFonts w:ascii="Times New Roman" w:hAnsi="Times New Roman"/>
          <w:color w:val="000000"/>
          <w:sz w:val="28"/>
          <w:szCs w:val="28"/>
        </w:rPr>
        <w:t>Додаток 2</w:t>
      </w:r>
      <w:r w:rsidRPr="00B4128F">
        <w:rPr>
          <w:rFonts w:ascii="Times New Roman" w:hAnsi="Times New Roman"/>
          <w:color w:val="000000"/>
          <w:sz w:val="28"/>
          <w:szCs w:val="28"/>
        </w:rPr>
        <w:br/>
        <w:t>до Порядку</w:t>
      </w:r>
    </w:p>
    <w:p w:rsidR="003677B7" w:rsidRPr="00B4128F" w:rsidRDefault="003677B7" w:rsidP="003677B7">
      <w:pPr>
        <w:pStyle w:val="ac"/>
        <w:spacing w:before="120" w:after="120"/>
        <w:rPr>
          <w:rFonts w:ascii="Times New Roman" w:hAnsi="Times New Roman"/>
          <w:b w:val="0"/>
          <w:sz w:val="28"/>
          <w:szCs w:val="28"/>
        </w:rPr>
      </w:pPr>
      <w:r w:rsidRPr="00B4128F">
        <w:rPr>
          <w:rFonts w:ascii="Times New Roman" w:hAnsi="Times New Roman"/>
          <w:b w:val="0"/>
          <w:sz w:val="28"/>
          <w:szCs w:val="28"/>
        </w:rPr>
        <w:t xml:space="preserve">КРИТЕРІЇ </w:t>
      </w:r>
      <w:r w:rsidRPr="00B4128F">
        <w:rPr>
          <w:rFonts w:ascii="Times New Roman" w:hAnsi="Times New Roman"/>
          <w:b w:val="0"/>
          <w:sz w:val="28"/>
          <w:szCs w:val="28"/>
        </w:rPr>
        <w:br/>
        <w:t>пріоритезації концепцій публічних інвестиційних прое</w:t>
      </w:r>
      <w:bookmarkStart w:id="2" w:name="30j0zll"/>
      <w:bookmarkEnd w:id="2"/>
      <w:r w:rsidRPr="00B4128F">
        <w:rPr>
          <w:rFonts w:ascii="Times New Roman" w:hAnsi="Times New Roman"/>
          <w:b w:val="0"/>
          <w:sz w:val="28"/>
          <w:szCs w:val="28"/>
        </w:rPr>
        <w:t>ктів</w:t>
      </w:r>
    </w:p>
    <w:p w:rsidR="003677B7" w:rsidRPr="00B4128F" w:rsidRDefault="003677B7" w:rsidP="003677B7">
      <w:pPr>
        <w:spacing w:before="120"/>
        <w:ind w:firstLine="567"/>
        <w:jc w:val="both"/>
        <w:rPr>
          <w:rFonts w:ascii="Times New Roman" w:hAnsi="Times New Roman"/>
          <w:color w:val="000000"/>
          <w:sz w:val="28"/>
          <w:szCs w:val="28"/>
        </w:rPr>
      </w:pPr>
      <w:r w:rsidRPr="00B4128F">
        <w:rPr>
          <w:rFonts w:ascii="Times New Roman" w:hAnsi="Times New Roman"/>
          <w:color w:val="000000"/>
          <w:sz w:val="28"/>
          <w:szCs w:val="28"/>
        </w:rPr>
        <w:t>1. Пріоритезація передбачає оцінювання концепцій публічних інвестиційних проектів, поданих головними розпорядниками бюджетних коштів, за стратегічними, соціально-економічними, фінансовими та технічними критеріями.</w:t>
      </w:r>
    </w:p>
    <w:p w:rsidR="003677B7" w:rsidRPr="00B4128F" w:rsidRDefault="003677B7" w:rsidP="003677B7">
      <w:pPr>
        <w:spacing w:before="120"/>
        <w:ind w:firstLine="567"/>
        <w:jc w:val="both"/>
        <w:rPr>
          <w:rFonts w:ascii="Times New Roman" w:hAnsi="Times New Roman"/>
          <w:color w:val="000000"/>
          <w:sz w:val="28"/>
          <w:szCs w:val="28"/>
        </w:rPr>
      </w:pPr>
      <w:r w:rsidRPr="00B4128F">
        <w:rPr>
          <w:rFonts w:ascii="Times New Roman" w:hAnsi="Times New Roman"/>
          <w:color w:val="000000"/>
          <w:sz w:val="28"/>
          <w:szCs w:val="28"/>
        </w:rPr>
        <w:t xml:space="preserve">2. Кожен критерій складається з відповідних індикаторів, які кількісно і якісно розкривають його зміст. </w:t>
      </w:r>
    </w:p>
    <w:p w:rsidR="003677B7" w:rsidRDefault="003677B7" w:rsidP="003677B7">
      <w:pPr>
        <w:spacing w:before="120"/>
        <w:ind w:firstLine="567"/>
        <w:jc w:val="both"/>
        <w:rPr>
          <w:rFonts w:ascii="Times New Roman" w:hAnsi="Times New Roman"/>
          <w:color w:val="000000"/>
          <w:sz w:val="28"/>
          <w:szCs w:val="28"/>
        </w:rPr>
      </w:pPr>
      <w:r w:rsidRPr="00B4128F">
        <w:rPr>
          <w:rFonts w:ascii="Times New Roman" w:hAnsi="Times New Roman"/>
          <w:color w:val="000000"/>
          <w:sz w:val="28"/>
          <w:szCs w:val="28"/>
        </w:rPr>
        <w:t>3. Кожен критерій та індикатор мають ваговий коефіцієнт (питому вагу), який визначає ступінь їх впливу на кінцевий результат оцінки та забезпечує ранжування поданих проектів з урахуванням всіх параметрів.</w:t>
      </w:r>
    </w:p>
    <w:p w:rsidR="00D7695E" w:rsidRPr="00B4128F" w:rsidRDefault="00D7695E" w:rsidP="003677B7">
      <w:pPr>
        <w:spacing w:before="120"/>
        <w:ind w:firstLine="567"/>
        <w:jc w:val="both"/>
        <w:rPr>
          <w:rFonts w:ascii="Times New Roman" w:hAnsi="Times New Roman"/>
          <w:color w:val="000000"/>
          <w:sz w:val="28"/>
          <w:szCs w:val="28"/>
        </w:rPr>
      </w:pPr>
    </w:p>
    <w:tbl>
      <w:tblPr>
        <w:tblW w:w="15435" w:type="dxa"/>
        <w:tblInd w:w="-108" w:type="dxa"/>
        <w:tblLayout w:type="fixed"/>
        <w:tblLook w:val="04A0" w:firstRow="1" w:lastRow="0" w:firstColumn="1" w:lastColumn="0" w:noHBand="0" w:noVBand="1"/>
      </w:tblPr>
      <w:tblGrid>
        <w:gridCol w:w="2220"/>
        <w:gridCol w:w="2709"/>
        <w:gridCol w:w="1480"/>
        <w:gridCol w:w="7374"/>
        <w:gridCol w:w="1652"/>
      </w:tblGrid>
      <w:tr w:rsidR="00FA732B" w:rsidTr="003677B7">
        <w:trPr>
          <w:trHeight w:val="20"/>
          <w:tblHeader/>
        </w:trPr>
        <w:tc>
          <w:tcPr>
            <w:tcW w:w="2219" w:type="dxa"/>
            <w:tcBorders>
              <w:top w:val="single" w:sz="4" w:space="0" w:color="000000"/>
              <w:left w:val="nil"/>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Категорії критеріїв</w:t>
            </w:r>
          </w:p>
        </w:tc>
        <w:tc>
          <w:tcPr>
            <w:tcW w:w="2708" w:type="dxa"/>
            <w:tcBorders>
              <w:top w:val="single" w:sz="4" w:space="0" w:color="000000"/>
              <w:left w:val="single" w:sz="4" w:space="0" w:color="000000"/>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Критерії</w:t>
            </w:r>
          </w:p>
        </w:tc>
        <w:tc>
          <w:tcPr>
            <w:tcW w:w="1480" w:type="dxa"/>
            <w:tcBorders>
              <w:top w:val="single" w:sz="4" w:space="0" w:color="000000"/>
              <w:left w:val="single" w:sz="4" w:space="0" w:color="000000"/>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Питома вага критерію оцінки, відсотків</w:t>
            </w:r>
          </w:p>
        </w:tc>
        <w:tc>
          <w:tcPr>
            <w:tcW w:w="7373" w:type="dxa"/>
            <w:tcBorders>
              <w:top w:val="single" w:sz="4" w:space="0" w:color="000000"/>
              <w:left w:val="single" w:sz="4" w:space="0" w:color="000000"/>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 xml:space="preserve">Індикатори </w:t>
            </w:r>
          </w:p>
        </w:tc>
        <w:tc>
          <w:tcPr>
            <w:tcW w:w="1652" w:type="dxa"/>
            <w:tcBorders>
              <w:top w:val="single" w:sz="4" w:space="0" w:color="000000"/>
              <w:left w:val="single" w:sz="4" w:space="0" w:color="000000"/>
              <w:bottom w:val="single" w:sz="4" w:space="0" w:color="000000"/>
              <w:right w:val="nil"/>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Питома вага індикатора, відсотків</w:t>
            </w:r>
          </w:p>
        </w:tc>
      </w:tr>
      <w:tr w:rsidR="00FA732B" w:rsidTr="003677B7">
        <w:trPr>
          <w:trHeight w:val="20"/>
        </w:trPr>
        <w:tc>
          <w:tcPr>
            <w:tcW w:w="2219" w:type="dxa"/>
            <w:vMerge w:val="restart"/>
            <w:tcBorders>
              <w:top w:val="single" w:sz="4" w:space="0" w:color="000000"/>
              <w:left w:val="nil"/>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Стратегічна доцільність</w:t>
            </w:r>
          </w:p>
        </w:tc>
        <w:tc>
          <w:tcPr>
            <w:tcW w:w="2708" w:type="dxa"/>
            <w:tcBorders>
              <w:top w:val="single" w:sz="4" w:space="0" w:color="000000"/>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стратегічна доцільність</w:t>
            </w:r>
          </w:p>
        </w:tc>
        <w:tc>
          <w:tcPr>
            <w:tcW w:w="1480" w:type="dxa"/>
            <w:tcBorders>
              <w:top w:val="single" w:sz="4" w:space="0" w:color="000000"/>
              <w:left w:val="single" w:sz="4" w:space="0" w:color="auto"/>
              <w:bottom w:val="single" w:sz="4" w:space="0" w:color="auto"/>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пройшов/ не пройшов</w:t>
            </w:r>
          </w:p>
        </w:tc>
        <w:tc>
          <w:tcPr>
            <w:tcW w:w="9025" w:type="dxa"/>
            <w:gridSpan w:val="2"/>
            <w:tcBorders>
              <w:top w:val="single" w:sz="4" w:space="0" w:color="000000"/>
              <w:left w:val="single" w:sz="4" w:space="0" w:color="auto"/>
              <w:bottom w:val="single" w:sz="4" w:space="0" w:color="auto"/>
              <w:right w:val="nil"/>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узгодження проекту із стратегічними документами</w:t>
            </w:r>
          </w:p>
        </w:tc>
      </w:tr>
      <w:tr w:rsidR="00FA732B" w:rsidTr="003677B7">
        <w:trPr>
          <w:trHeight w:val="20"/>
        </w:trPr>
        <w:tc>
          <w:tcPr>
            <w:tcW w:w="2219" w:type="dxa"/>
            <w:vMerge/>
            <w:tcBorders>
              <w:top w:val="single" w:sz="4" w:space="0" w:color="000000"/>
              <w:left w:val="nil"/>
              <w:bottom w:val="single" w:sz="4" w:space="0" w:color="auto"/>
              <w:right w:val="single" w:sz="4" w:space="0" w:color="auto"/>
            </w:tcBorders>
            <w:vAlign w:val="center"/>
            <w:hideMark/>
          </w:tcPr>
          <w:p w:rsidR="003677B7" w:rsidRPr="00B4128F" w:rsidRDefault="003677B7">
            <w:pPr>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актуальність потреби</w:t>
            </w:r>
          </w:p>
        </w:tc>
        <w:tc>
          <w:tcPr>
            <w:tcW w:w="1480"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25</w:t>
            </w: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спрямування проекту на досягнення поточних пріоритетів Кабінету Міністрів України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100 </w:t>
            </w:r>
          </w:p>
        </w:tc>
      </w:tr>
      <w:tr w:rsidR="00FA732B" w:rsidTr="00426712">
        <w:trPr>
          <w:trHeight w:val="20"/>
        </w:trPr>
        <w:tc>
          <w:tcPr>
            <w:tcW w:w="2219" w:type="dxa"/>
            <w:tcBorders>
              <w:top w:val="single" w:sz="4" w:space="0" w:color="auto"/>
              <w:left w:val="nil"/>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Соціально-економічна доцільність</w:t>
            </w: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місце реалізації (безпечність)</w:t>
            </w:r>
          </w:p>
        </w:tc>
        <w:tc>
          <w:tcPr>
            <w:tcW w:w="1480"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пройшов/ не пройшов</w:t>
            </w:r>
          </w:p>
        </w:tc>
        <w:tc>
          <w:tcPr>
            <w:tcW w:w="9025" w:type="dxa"/>
            <w:gridSpan w:val="2"/>
            <w:tcBorders>
              <w:top w:val="single" w:sz="4" w:space="0" w:color="auto"/>
              <w:left w:val="single" w:sz="4" w:space="0" w:color="auto"/>
              <w:bottom w:val="single" w:sz="4" w:space="0" w:color="auto"/>
              <w:right w:val="nil"/>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 xml:space="preserve">реалізація проекту на підконтрольних територіях або територіях, які після 24 лютого 2022 р. були звільнені від тимчасової окупації Російською Федерацією та/або на території яких на момент подання концепції не ведеться активних бойових дій (з урахуванням обмежень щодо віддалення </w:t>
            </w:r>
            <w:r w:rsidRPr="00B4128F">
              <w:rPr>
                <w:rFonts w:ascii="Times New Roman" w:hAnsi="Times New Roman"/>
                <w:color w:val="000000"/>
                <w:sz w:val="28"/>
                <w:szCs w:val="28"/>
              </w:rPr>
              <w:lastRenderedPageBreak/>
              <w:t>не менш як на 30 кілометрів від територій активних бойових дій та територій, тимчасово окупованих Російською Федерацією, крім проектів, що належать до категорії, що мають “Вплив на задоволення базових потреб громадян”), відповідно до наказу Мінреінтеграції від 23 грудня 2022 р. № 309 “Про затвердження Переліку територій, на яких ведуться (велися) бойові дії або тимчасово окупованих Російською Федерацією”</w:t>
            </w:r>
          </w:p>
        </w:tc>
      </w:tr>
      <w:tr w:rsidR="00FA732B" w:rsidTr="00426712">
        <w:trPr>
          <w:trHeight w:val="20"/>
        </w:trPr>
        <w:tc>
          <w:tcPr>
            <w:tcW w:w="2219"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охоплення населення</w:t>
            </w:r>
          </w:p>
        </w:tc>
        <w:tc>
          <w:tcPr>
            <w:tcW w:w="1480" w:type="dxa"/>
            <w:vMerge w:val="restart"/>
            <w:tcBorders>
              <w:top w:val="single" w:sz="4" w:space="0" w:color="auto"/>
              <w:left w:val="single" w:sz="4" w:space="0" w:color="auto"/>
              <w:bottom w:val="nil"/>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25</w:t>
            </w: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підтвердження попиту на послугу/інфраструктуру (проводились дослідження/розрахунки) та достатність для обґрунтування необхідності реалізації проекту (очікуваний попит дорівнює або перевищує заплановану потужність)</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30</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vMerge/>
            <w:tcBorders>
              <w:top w:val="single" w:sz="4" w:space="0" w:color="auto"/>
              <w:left w:val="single" w:sz="4" w:space="0" w:color="auto"/>
              <w:bottom w:val="nil"/>
              <w:right w:val="single" w:sz="4" w:space="0" w:color="auto"/>
            </w:tcBorders>
            <w:vAlign w:val="center"/>
            <w:hideMark/>
          </w:tcPr>
          <w:p w:rsidR="003677B7" w:rsidRPr="00B4128F" w:rsidRDefault="003677B7">
            <w:pPr>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обсяг додаткових надходжень до бюджету від реалізації проекту у співвідношенні до витрат на нього (сумарні надходження до бюджету за весь період проекту в                    тис. гривень/загальна вартість проекту за весь період проекту в тис. гривень)</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20</w:t>
            </w:r>
          </w:p>
        </w:tc>
      </w:tr>
      <w:tr w:rsidR="00FA732B" w:rsidTr="004C59E0">
        <w:trPr>
          <w:trHeight w:val="20"/>
        </w:trPr>
        <w:tc>
          <w:tcPr>
            <w:tcW w:w="2219"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забезпечення захисту критичної інфраструктури</w:t>
            </w:r>
          </w:p>
        </w:tc>
        <w:tc>
          <w:tcPr>
            <w:tcW w:w="1480" w:type="dxa"/>
            <w:tcBorders>
              <w:top w:val="nil"/>
              <w:left w:val="single" w:sz="4" w:space="0" w:color="auto"/>
              <w:right w:val="single" w:sz="4" w:space="0" w:color="auto"/>
            </w:tcBorders>
          </w:tcPr>
          <w:p w:rsidR="003677B7" w:rsidRPr="00B4128F" w:rsidRDefault="003677B7">
            <w:pPr>
              <w:widowControl w:val="0"/>
              <w:spacing w:before="120"/>
              <w:jc w:val="center"/>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 xml:space="preserve">здійснення заходів, що підвищать захищеність інфраструктури в секторі “паливно-енергетичний сектор”, підсекторах “електроенергетика”, “нафтова промисловість”, “газова промисловість”, “ядерна енергетика”, секторі “транспорт і пошта”, підсекторах </w:t>
            </w:r>
            <w:r w:rsidRPr="00B4128F">
              <w:rPr>
                <w:rFonts w:ascii="Times New Roman" w:hAnsi="Times New Roman"/>
                <w:color w:val="000000"/>
                <w:sz w:val="28"/>
                <w:szCs w:val="28"/>
              </w:rPr>
              <w:lastRenderedPageBreak/>
              <w:t>“залізничний транспорт”, “морський та внутрішній водний транспорт” або в секторі “системи життєзабезпечення” (постачання теплової енергії, постачання гарячої води, централізоване питне водопостачання, централізоване водовідведення, управління побутовими відходами)*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lastRenderedPageBreak/>
              <w:t>10</w:t>
            </w:r>
          </w:p>
        </w:tc>
      </w:tr>
      <w:tr w:rsidR="00FA732B" w:rsidTr="004C59E0">
        <w:trPr>
          <w:trHeight w:val="20"/>
        </w:trPr>
        <w:tc>
          <w:tcPr>
            <w:tcW w:w="2219"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забезпечення безпеки населення</w:t>
            </w:r>
          </w:p>
        </w:tc>
        <w:tc>
          <w:tcPr>
            <w:tcW w:w="1480" w:type="dxa"/>
            <w:tcBorders>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будівництво/облаштування захисних споруд цивільного захисту, сховищ, протирадіаційних укриттів</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480D04" w:rsidP="00315527">
            <w:pPr>
              <w:spacing w:before="120"/>
              <w:jc w:val="both"/>
              <w:rPr>
                <w:rFonts w:ascii="Times New Roman" w:hAnsi="Times New Roman"/>
                <w:color w:val="000000"/>
                <w:sz w:val="28"/>
                <w:szCs w:val="28"/>
              </w:rPr>
            </w:pPr>
            <w:r w:rsidRPr="00B4128F">
              <w:rPr>
                <w:rFonts w:ascii="Times New Roman" w:hAnsi="Times New Roman"/>
                <w:color w:val="000000"/>
                <w:sz w:val="28"/>
                <w:szCs w:val="28"/>
              </w:rPr>
              <w:t>в</w:t>
            </w:r>
            <w:r w:rsidR="003677B7" w:rsidRPr="00B4128F">
              <w:rPr>
                <w:rFonts w:ascii="Times New Roman" w:hAnsi="Times New Roman"/>
                <w:color w:val="000000"/>
                <w:sz w:val="28"/>
                <w:szCs w:val="28"/>
              </w:rPr>
              <w:t>ідносне</w:t>
            </w:r>
            <w:r w:rsidRPr="00B4128F">
              <w:rPr>
                <w:rFonts w:ascii="Times New Roman" w:hAnsi="Times New Roman"/>
                <w:color w:val="000000"/>
                <w:sz w:val="28"/>
                <w:szCs w:val="28"/>
              </w:rPr>
              <w:t xml:space="preserve"> </w:t>
            </w:r>
            <w:r w:rsidR="003677B7" w:rsidRPr="00B4128F">
              <w:rPr>
                <w:rFonts w:ascii="Times New Roman" w:hAnsi="Times New Roman"/>
                <w:color w:val="000000"/>
                <w:sz w:val="28"/>
                <w:szCs w:val="28"/>
              </w:rPr>
              <w:t>скорочення витрат на задоволення суспільних потреб у розрахунку на одного користувача у результаті реалізації проекту</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підвищення ефективності/якості надання послуги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5</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забезпечення реалізації проекту для підвищення продуктивності праці (розвиток виробництва, передусім переробної галузі), збільшення обсягу виробництва у результаті реалізації проекту у розрахунку на одного працівника</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5</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rsidP="00315527">
            <w:pPr>
              <w:spacing w:before="120"/>
              <w:jc w:val="both"/>
              <w:rPr>
                <w:rFonts w:ascii="Times New Roman" w:hAnsi="Times New Roman"/>
                <w:color w:val="000000"/>
                <w:sz w:val="28"/>
                <w:szCs w:val="28"/>
              </w:rPr>
            </w:pPr>
            <w:r w:rsidRPr="00B4128F">
              <w:rPr>
                <w:rFonts w:ascii="Times New Roman" w:hAnsi="Times New Roman"/>
                <w:color w:val="000000"/>
                <w:sz w:val="28"/>
                <w:szCs w:val="28"/>
              </w:rPr>
              <w:t>забезпечення створення нових робочих місць та/або їх збереження (співвідношення загальної кількості постійних робочих місць, створених після здачі об’єкта в експлуатацію, до загальної вартості проекту, тис. гривень)</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5</w:t>
            </w:r>
          </w:p>
        </w:tc>
      </w:tr>
      <w:tr w:rsidR="00FA732B" w:rsidTr="003677B7">
        <w:trPr>
          <w:trHeight w:val="20"/>
        </w:trPr>
        <w:tc>
          <w:tcPr>
            <w:tcW w:w="2219" w:type="dxa"/>
            <w:tcBorders>
              <w:top w:val="nil"/>
              <w:left w:val="nil"/>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вплив на економіку</w:t>
            </w:r>
          </w:p>
        </w:tc>
        <w:tc>
          <w:tcPr>
            <w:tcW w:w="1480" w:type="dxa"/>
            <w:tcBorders>
              <w:top w:val="nil"/>
              <w:left w:val="single" w:sz="4" w:space="0" w:color="auto"/>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tcPr>
          <w:p w:rsidR="00426712"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експортна орієнтація (позитивне торговельне сальдо, що підтверджене відповідними розрахунками)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5</w:t>
            </w:r>
          </w:p>
        </w:tc>
      </w:tr>
      <w:tr w:rsidR="00FA732B" w:rsidTr="003677B7">
        <w:trPr>
          <w:trHeight w:val="20"/>
        </w:trPr>
        <w:tc>
          <w:tcPr>
            <w:tcW w:w="2219" w:type="dxa"/>
            <w:tcBorders>
              <w:top w:val="single" w:sz="4" w:space="0" w:color="auto"/>
              <w:left w:val="nil"/>
              <w:bottom w:val="nil"/>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Фінансова доцільність</w:t>
            </w: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top w:val="single" w:sz="4" w:space="0" w:color="auto"/>
              <w:left w:val="single" w:sz="4" w:space="0" w:color="auto"/>
              <w:bottom w:val="nil"/>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25</w:t>
            </w: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реалізація (виконання робіт, здійснення закупівель) і фінансування проекту після початку повномасштабного вторгнення (24 лютого 2022 р.) протягом</w:t>
            </w:r>
            <w:r w:rsidRPr="00B4128F">
              <w:rPr>
                <w:rFonts w:ascii="Times New Roman" w:hAnsi="Times New Roman"/>
                <w:color w:val="000000"/>
                <w:sz w:val="28"/>
                <w:szCs w:val="28"/>
              </w:rPr>
              <w:br/>
              <w:t>2022—2024 років, заплановане подальше фінансування</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35</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передбачення надання грантів або міжнародної технічної допомоги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15</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частину загальних витрат на проект планується профінансувати не за рахунок коштів державного бюджету (наприклад, за рахунок місцевого бюджету, коштів міжнародних фінансових організацій, власних коштів суб’єктів господарювання державного сектору економіки, приватних коштів тощо)</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15</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вартість проекту на одного користувача послуги</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співвідношення загальної вартості проекту до кількості користувачів, тис. гривень</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4C59E0">
        <w:trPr>
          <w:trHeight w:val="20"/>
        </w:trPr>
        <w:tc>
          <w:tcPr>
            <w:tcW w:w="2219"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 xml:space="preserve">наявність </w:t>
            </w:r>
            <w:r w:rsidRPr="00B4128F">
              <w:rPr>
                <w:rFonts w:ascii="Times New Roman" w:hAnsi="Times New Roman"/>
                <w:color w:val="000000"/>
                <w:sz w:val="28"/>
                <w:szCs w:val="28"/>
              </w:rPr>
              <w:lastRenderedPageBreak/>
              <w:t>(доступність) джерел фінансування</w:t>
            </w:r>
          </w:p>
        </w:tc>
        <w:tc>
          <w:tcPr>
            <w:tcW w:w="1480" w:type="dxa"/>
            <w:tcBorders>
              <w:top w:val="nil"/>
              <w:left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 xml:space="preserve">підтверджене співфінансування (наприклад, з місцевого </w:t>
            </w:r>
            <w:r w:rsidRPr="00B4128F">
              <w:rPr>
                <w:rFonts w:ascii="Times New Roman" w:hAnsi="Times New Roman"/>
                <w:color w:val="000000"/>
                <w:sz w:val="28"/>
                <w:szCs w:val="28"/>
              </w:rPr>
              <w:lastRenderedPageBreak/>
              <w:t>бюджету, в рамках проектів міжнародних фінансових організацій та міжнародної технічної допомоги, за рахунок власних коштів суб’єктів господарювання державного сектору економіки, приватних коштів)</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lastRenderedPageBreak/>
              <w:t>10</w:t>
            </w:r>
          </w:p>
        </w:tc>
      </w:tr>
      <w:tr w:rsidR="00FA732B" w:rsidTr="004C59E0">
        <w:trPr>
          <w:trHeight w:val="20"/>
        </w:trPr>
        <w:tc>
          <w:tcPr>
            <w:tcW w:w="2219"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 xml:space="preserve">наявність приватних інвесторів, заінтересованих щодо можливості реалізації державно-приватного партнерства після проведення відповідного дослідження </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потреба проекту у значних інвестиціях протягом кількох років (усі проекти тривалістю понад 24 місяці та з бюджетом понад 5 млн. доларів США за офіційним курсом Національного банку на дату подання звернення)</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3</w:t>
            </w:r>
          </w:p>
        </w:tc>
      </w:tr>
      <w:tr w:rsidR="00FA732B" w:rsidTr="003677B7">
        <w:trPr>
          <w:trHeight w:val="20"/>
        </w:trPr>
        <w:tc>
          <w:tcPr>
            <w:tcW w:w="2219" w:type="dxa"/>
            <w:tcBorders>
              <w:top w:val="nil"/>
              <w:left w:val="nil"/>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наявність (доступність) джерел фінансування</w:t>
            </w:r>
          </w:p>
        </w:tc>
        <w:tc>
          <w:tcPr>
            <w:tcW w:w="1480" w:type="dxa"/>
            <w:tcBorders>
              <w:top w:val="nil"/>
              <w:left w:val="single" w:sz="4" w:space="0" w:color="auto"/>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rsidP="00AA72E4">
            <w:pPr>
              <w:spacing w:before="120"/>
              <w:jc w:val="both"/>
              <w:rPr>
                <w:rFonts w:ascii="Times New Roman" w:hAnsi="Times New Roman"/>
                <w:color w:val="000000"/>
                <w:sz w:val="28"/>
                <w:szCs w:val="28"/>
              </w:rPr>
            </w:pPr>
            <w:r w:rsidRPr="00B4128F">
              <w:rPr>
                <w:rFonts w:ascii="Times New Roman" w:hAnsi="Times New Roman"/>
                <w:color w:val="000000"/>
                <w:sz w:val="28"/>
                <w:szCs w:val="28"/>
              </w:rPr>
              <w:t xml:space="preserve">використання проектом різних видів валют для фінансування своїх витрат або </w:t>
            </w:r>
            <w:r w:rsidR="00AA72E4" w:rsidRPr="00B4128F">
              <w:rPr>
                <w:rFonts w:ascii="Times New Roman" w:hAnsi="Times New Roman"/>
                <w:color w:val="000000"/>
                <w:sz w:val="28"/>
                <w:szCs w:val="28"/>
              </w:rPr>
              <w:t>за</w:t>
            </w:r>
            <w:r w:rsidRPr="00B4128F">
              <w:rPr>
                <w:rFonts w:ascii="Times New Roman" w:hAnsi="Times New Roman"/>
                <w:color w:val="000000"/>
                <w:sz w:val="28"/>
                <w:szCs w:val="28"/>
              </w:rPr>
              <w:t>леж</w:t>
            </w:r>
            <w:r w:rsidR="00AA72E4" w:rsidRPr="00B4128F">
              <w:rPr>
                <w:rFonts w:ascii="Times New Roman" w:hAnsi="Times New Roman"/>
                <w:color w:val="000000"/>
                <w:sz w:val="28"/>
                <w:szCs w:val="28"/>
              </w:rPr>
              <w:t>ність</w:t>
            </w:r>
            <w:r w:rsidRPr="00B4128F">
              <w:rPr>
                <w:rFonts w:ascii="Times New Roman" w:hAnsi="Times New Roman"/>
                <w:color w:val="000000"/>
                <w:sz w:val="28"/>
                <w:szCs w:val="28"/>
              </w:rPr>
              <w:t xml:space="preserve"> витрат</w:t>
            </w:r>
            <w:r w:rsidR="00AA72E4" w:rsidRPr="00B4128F">
              <w:rPr>
                <w:rFonts w:ascii="Times New Roman" w:hAnsi="Times New Roman"/>
                <w:color w:val="000000"/>
                <w:sz w:val="28"/>
                <w:szCs w:val="28"/>
              </w:rPr>
              <w:t>и</w:t>
            </w:r>
            <w:r w:rsidRPr="00B4128F">
              <w:rPr>
                <w:rFonts w:ascii="Times New Roman" w:hAnsi="Times New Roman"/>
                <w:color w:val="000000"/>
                <w:sz w:val="28"/>
                <w:szCs w:val="28"/>
              </w:rPr>
              <w:t xml:space="preserve"> проекту від коливання курсу іноземної валюти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w:t>
            </w:r>
          </w:p>
        </w:tc>
      </w:tr>
      <w:tr w:rsidR="00FA732B" w:rsidTr="00426712">
        <w:trPr>
          <w:trHeight w:val="1031"/>
        </w:trPr>
        <w:tc>
          <w:tcPr>
            <w:tcW w:w="2219" w:type="dxa"/>
            <w:tcBorders>
              <w:top w:val="single" w:sz="4" w:space="0" w:color="auto"/>
              <w:left w:val="nil"/>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Технічна здійсненність та інституційна спроможність</w:t>
            </w: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операційна готовність</w:t>
            </w:r>
          </w:p>
        </w:tc>
        <w:tc>
          <w:tcPr>
            <w:tcW w:w="1480" w:type="dxa"/>
            <w:tcBorders>
              <w:top w:val="single" w:sz="4" w:space="0" w:color="auto"/>
              <w:left w:val="single" w:sz="4" w:space="0" w:color="auto"/>
              <w:bottom w:val="nil"/>
              <w:right w:val="single" w:sz="4" w:space="0" w:color="auto"/>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25</w:t>
            </w: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етап підготовки/реалізації проекту</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27</w:t>
            </w:r>
          </w:p>
        </w:tc>
      </w:tr>
      <w:tr w:rsidR="00FA732B" w:rsidTr="004C59E0">
        <w:trPr>
          <w:trHeight w:val="20"/>
        </w:trPr>
        <w:tc>
          <w:tcPr>
            <w:tcW w:w="2219"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спроможність реалізації проекту</w:t>
            </w:r>
          </w:p>
        </w:tc>
        <w:tc>
          <w:tcPr>
            <w:tcW w:w="1480" w:type="dxa"/>
            <w:tcBorders>
              <w:top w:val="nil"/>
              <w:left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наявність у заявника кваліфікованої проектної команди з попереднім досвідом реалізації подібних проектів або наявність у проектної команди досвіду роботи з міжнародними фінансовими організаціями в рамках інших (неподібних) проектів</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12</w:t>
            </w:r>
          </w:p>
        </w:tc>
      </w:tr>
      <w:tr w:rsidR="00FA732B" w:rsidTr="004C59E0">
        <w:trPr>
          <w:trHeight w:val="20"/>
        </w:trPr>
        <w:tc>
          <w:tcPr>
            <w:tcW w:w="2219"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енергоефективність</w:t>
            </w:r>
          </w:p>
        </w:tc>
        <w:tc>
          <w:tcPr>
            <w:tcW w:w="1480" w:type="dxa"/>
            <w:tcBorders>
              <w:left w:val="single" w:sz="4" w:space="0" w:color="auto"/>
              <w:bottom w:val="nil"/>
              <w:right w:val="single" w:sz="4" w:space="0" w:color="auto"/>
            </w:tcBorders>
          </w:tcPr>
          <w:p w:rsidR="003677B7" w:rsidRPr="00B4128F" w:rsidRDefault="003677B7">
            <w:pPr>
              <w:spacing w:before="120"/>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зменшення питомого споживання енергії на одного користувача щонайменше на 20 відсотків після реалізації проекту</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інклюзивність та безбар’єрність</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конкретні заходи щодо врахування необхідності доступу до об’єкта всіх груп населення, включно з особами з обмеженими можливостями та уразливими групами населення</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сталість навколишнього природного середовища</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обґрунтування відсутності/зменшення негативного впливу на навколишнє природне середовище (інноваційний підхід, безпечне зберігання, зниження/скорочення обсягів забруднення/викидів, мінімізація погіршення стану інфраструктури тощо</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інклюзивність та безбар’єрність</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конкретні заходи щодо врахування гендерних ризиків та забезпечення однакового доступу до послуги/ інфраструктури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спроможність реалізації проекту</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потреба проекту у подальшій зміні цільового призначення земельної ділянки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4C59E0">
        <w:trPr>
          <w:trHeight w:val="20"/>
        </w:trPr>
        <w:tc>
          <w:tcPr>
            <w:tcW w:w="2219"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спроможність реалізації проекту</w:t>
            </w:r>
          </w:p>
        </w:tc>
        <w:tc>
          <w:tcPr>
            <w:tcW w:w="1480" w:type="dxa"/>
            <w:tcBorders>
              <w:top w:val="nil"/>
              <w:left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потреба проекту у подальшому відведенні/відчуженні земельної ділянки</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4C59E0">
        <w:trPr>
          <w:trHeight w:val="20"/>
        </w:trPr>
        <w:tc>
          <w:tcPr>
            <w:tcW w:w="2219"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спроможність реалізації проекту</w:t>
            </w:r>
          </w:p>
        </w:tc>
        <w:tc>
          <w:tcPr>
            <w:tcW w:w="1480" w:type="dxa"/>
            <w:tcBorders>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наявність суміжної інженерно-транспортної інфраструктури (автомобільні дороги, лінії зв’язку, засоби тепло-, газо-, водо- та електропостачання, інженерні комунікації тощо), яка необхідна для функціонування об’єкта будівництва, передбаченого проектом</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енергоефективність</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походження електричної енергії, яка буде використовуватися проектом, з джерела відновлюваної енергії</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3677B7">
        <w:trPr>
          <w:trHeight w:val="20"/>
        </w:trPr>
        <w:tc>
          <w:tcPr>
            <w:tcW w:w="2219"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енергоефективність</w:t>
            </w:r>
          </w:p>
        </w:tc>
        <w:tc>
          <w:tcPr>
            <w:tcW w:w="1480" w:type="dxa"/>
            <w:tcBorders>
              <w:top w:val="nil"/>
              <w:left w:val="single" w:sz="4" w:space="0" w:color="auto"/>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використання під час реалізації проекту загальновизнаних (національних або міжнародних) стандартів сталого розвитку/стандарти енергоефективності</w:t>
            </w:r>
            <w:r w:rsidRPr="00B4128F">
              <w:rPr>
                <w:rFonts w:ascii="Times New Roman" w:hAnsi="Times New Roman"/>
                <w:color w:val="000000"/>
                <w:sz w:val="28"/>
                <w:szCs w:val="28"/>
              </w:rPr>
              <w:br/>
              <w:t>(ДБН В.1.2-11:2021 Основні вимоги до будівель і споруд. Енергозбереження та енергоефективність,</w:t>
            </w:r>
            <w:r w:rsidRPr="00B4128F">
              <w:rPr>
                <w:rFonts w:ascii="Times New Roman" w:hAnsi="Times New Roman"/>
                <w:color w:val="000000"/>
                <w:sz w:val="28"/>
                <w:szCs w:val="28"/>
              </w:rPr>
              <w:br/>
              <w:t xml:space="preserve">ДБН В.2.6- 31:2021 Теплова ізоляція та енергоефективність будівель) </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3677B7">
        <w:trPr>
          <w:trHeight w:val="20"/>
        </w:trPr>
        <w:tc>
          <w:tcPr>
            <w:tcW w:w="2219" w:type="dxa"/>
            <w:tcBorders>
              <w:top w:val="nil"/>
              <w:left w:val="nil"/>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2708"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 xml:space="preserve">спроможність </w:t>
            </w:r>
            <w:r w:rsidRPr="00B4128F">
              <w:rPr>
                <w:rFonts w:ascii="Times New Roman" w:hAnsi="Times New Roman"/>
                <w:color w:val="000000"/>
                <w:sz w:val="28"/>
                <w:szCs w:val="28"/>
              </w:rPr>
              <w:lastRenderedPageBreak/>
              <w:t>реалізації проекту</w:t>
            </w:r>
          </w:p>
        </w:tc>
        <w:tc>
          <w:tcPr>
            <w:tcW w:w="1480" w:type="dxa"/>
            <w:tcBorders>
              <w:top w:val="nil"/>
              <w:left w:val="single" w:sz="4" w:space="0" w:color="auto"/>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7373"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 xml:space="preserve">потреба у впровадженні будь-якої технології, що є новою </w:t>
            </w:r>
            <w:r w:rsidRPr="00B4128F">
              <w:rPr>
                <w:rFonts w:ascii="Times New Roman" w:hAnsi="Times New Roman"/>
                <w:color w:val="000000"/>
                <w:sz w:val="28"/>
                <w:szCs w:val="28"/>
              </w:rPr>
              <w:lastRenderedPageBreak/>
              <w:t>для місцевого ринку (елемент інновації)</w:t>
            </w:r>
          </w:p>
        </w:tc>
        <w:tc>
          <w:tcPr>
            <w:tcW w:w="1652"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lastRenderedPageBreak/>
              <w:t>3</w:t>
            </w:r>
          </w:p>
        </w:tc>
      </w:tr>
    </w:tbl>
    <w:p w:rsidR="004C59E0" w:rsidRDefault="004C59E0" w:rsidP="003677B7">
      <w:pPr>
        <w:pStyle w:val="a4"/>
        <w:spacing w:after="120"/>
        <w:jc w:val="center"/>
        <w:rPr>
          <w:rFonts w:ascii="Times New Roman" w:hAnsi="Times New Roman"/>
          <w:sz w:val="28"/>
          <w:szCs w:val="28"/>
        </w:rPr>
      </w:pPr>
    </w:p>
    <w:p w:rsidR="003677B7" w:rsidRDefault="003677B7" w:rsidP="003677B7">
      <w:pPr>
        <w:pStyle w:val="a4"/>
        <w:spacing w:after="120"/>
        <w:jc w:val="center"/>
        <w:rPr>
          <w:rFonts w:ascii="Times New Roman" w:hAnsi="Times New Roman"/>
          <w:sz w:val="28"/>
          <w:szCs w:val="28"/>
        </w:rPr>
      </w:pPr>
      <w:r w:rsidRPr="00B4128F">
        <w:rPr>
          <w:rFonts w:ascii="Times New Roman" w:hAnsi="Times New Roman"/>
          <w:sz w:val="28"/>
          <w:szCs w:val="28"/>
        </w:rPr>
        <w:t>Напрями досягнення поточних пріоритетів Кабінету Міністрів України</w:t>
      </w:r>
      <w:r w:rsidRPr="00B4128F">
        <w:rPr>
          <w:rFonts w:ascii="Times New Roman" w:hAnsi="Times New Roman"/>
          <w:sz w:val="28"/>
          <w:szCs w:val="28"/>
        </w:rPr>
        <w:br/>
        <w:t>(розшифровка індикатора “спрямування проекту на досягнення поточних пріоритетів Кабінету Міністрів України”,</w:t>
      </w:r>
      <w:r w:rsidRPr="00B4128F">
        <w:rPr>
          <w:rFonts w:ascii="Times New Roman" w:hAnsi="Times New Roman"/>
          <w:sz w:val="28"/>
          <w:szCs w:val="28"/>
        </w:rPr>
        <w:br/>
        <w:t>критерію “актуальність потреби”, категорія критерію “стратегічна доцільність”)</w:t>
      </w:r>
    </w:p>
    <w:p w:rsidR="004C59E0" w:rsidRPr="00B4128F" w:rsidRDefault="004C59E0" w:rsidP="003677B7">
      <w:pPr>
        <w:pStyle w:val="a4"/>
        <w:spacing w:after="120"/>
        <w:jc w:val="center"/>
        <w:rPr>
          <w:rFonts w:ascii="Times New Roman" w:hAnsi="Times New Roman"/>
          <w:sz w:val="28"/>
          <w:szCs w:val="28"/>
        </w:rPr>
      </w:pPr>
    </w:p>
    <w:tbl>
      <w:tblPr>
        <w:tblW w:w="15135" w:type="dxa"/>
        <w:tblInd w:w="-142" w:type="dxa"/>
        <w:tblLayout w:type="fixed"/>
        <w:tblLook w:val="04A0" w:firstRow="1" w:lastRow="0" w:firstColumn="1" w:lastColumn="0" w:noHBand="0" w:noVBand="1"/>
      </w:tblPr>
      <w:tblGrid>
        <w:gridCol w:w="236"/>
        <w:gridCol w:w="2141"/>
        <w:gridCol w:w="10490"/>
        <w:gridCol w:w="2268"/>
      </w:tblGrid>
      <w:tr w:rsidR="00FA732B" w:rsidTr="003677B7">
        <w:trPr>
          <w:tblHeader/>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single" w:sz="4" w:space="0" w:color="000000"/>
              <w:left w:val="nil"/>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Тип впливу</w:t>
            </w:r>
          </w:p>
        </w:tc>
        <w:tc>
          <w:tcPr>
            <w:tcW w:w="10489" w:type="dxa"/>
            <w:tcBorders>
              <w:top w:val="single" w:sz="4" w:space="0" w:color="000000"/>
              <w:left w:val="single" w:sz="4" w:space="0" w:color="000000"/>
              <w:bottom w:val="single" w:sz="4" w:space="0" w:color="000000"/>
              <w:right w:val="single" w:sz="4" w:space="0" w:color="000000"/>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Спрямованість проекту</w:t>
            </w:r>
          </w:p>
        </w:tc>
        <w:tc>
          <w:tcPr>
            <w:tcW w:w="2268" w:type="dxa"/>
            <w:tcBorders>
              <w:top w:val="single" w:sz="4" w:space="0" w:color="000000"/>
              <w:left w:val="single" w:sz="4" w:space="0" w:color="000000"/>
              <w:bottom w:val="single" w:sz="4" w:space="0" w:color="000000"/>
              <w:right w:val="nil"/>
            </w:tcBorders>
            <w:vAlign w:val="center"/>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Кількість балів</w:t>
            </w:r>
            <w:r w:rsidRPr="00B4128F">
              <w:rPr>
                <w:rFonts w:ascii="Times New Roman" w:hAnsi="Times New Roman"/>
                <w:color w:val="000000"/>
                <w:sz w:val="28"/>
                <w:szCs w:val="28"/>
              </w:rPr>
              <w:br/>
              <w:t xml:space="preserve">(10 балів = </w:t>
            </w:r>
            <w:r w:rsidRPr="00B4128F">
              <w:rPr>
                <w:rFonts w:ascii="Times New Roman" w:hAnsi="Times New Roman"/>
                <w:color w:val="000000"/>
                <w:sz w:val="28"/>
                <w:szCs w:val="28"/>
              </w:rPr>
              <w:br/>
              <w:t>100 відсотків)</w:t>
            </w:r>
          </w:p>
        </w:tc>
      </w:tr>
      <w:tr w:rsidR="00FA732B" w:rsidTr="003677B7">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single" w:sz="4" w:space="0" w:color="000000"/>
              <w:left w:val="nil"/>
              <w:bottom w:val="nil"/>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1. Вплив на стійкість економіки</w:t>
            </w:r>
          </w:p>
        </w:tc>
        <w:tc>
          <w:tcPr>
            <w:tcW w:w="10489" w:type="dxa"/>
            <w:tcBorders>
              <w:top w:val="single" w:sz="4" w:space="0" w:color="000000"/>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 проект спрямований на відновлення пошкодженої внаслідок збройної агресії Російською Федерацією генерації електричної енергії або систем розподілу, або на ремонт ядерних реакторів/атомних електростанцій:</w:t>
            </w:r>
          </w:p>
        </w:tc>
        <w:tc>
          <w:tcPr>
            <w:tcW w:w="2268" w:type="dxa"/>
            <w:tcBorders>
              <w:top w:val="single" w:sz="4" w:space="0" w:color="000000"/>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9</w:t>
            </w:r>
          </w:p>
        </w:tc>
      </w:tr>
      <w:tr w:rsidR="00FA732B" w:rsidTr="003677B7">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ind w:firstLine="283"/>
              <w:rPr>
                <w:rFonts w:ascii="Times New Roman" w:hAnsi="Times New Roman"/>
                <w:color w:val="000000"/>
                <w:sz w:val="28"/>
                <w:szCs w:val="28"/>
              </w:rPr>
            </w:pPr>
            <w:r w:rsidRPr="00B4128F">
              <w:rPr>
                <w:rFonts w:ascii="Times New Roman" w:hAnsi="Times New Roman"/>
                <w:color w:val="000000"/>
                <w:sz w:val="28"/>
                <w:szCs w:val="28"/>
              </w:rPr>
              <w:t>спрямований на розвиток малої (децентралізованої) генерації електричної енергії;</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ind w:firstLine="283"/>
              <w:rPr>
                <w:rFonts w:ascii="Times New Roman" w:hAnsi="Times New Roman"/>
                <w:color w:val="000000"/>
                <w:sz w:val="28"/>
                <w:szCs w:val="28"/>
              </w:rPr>
            </w:pPr>
            <w:r w:rsidRPr="00B4128F">
              <w:rPr>
                <w:rFonts w:ascii="Times New Roman" w:hAnsi="Times New Roman"/>
                <w:color w:val="000000"/>
                <w:sz w:val="28"/>
                <w:szCs w:val="28"/>
              </w:rPr>
              <w:t>генерація зеленої електричної енергії (сонце, вітер, вода, біомаса тощо)</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10</w:t>
            </w:r>
          </w:p>
        </w:tc>
      </w:tr>
      <w:tr w:rsidR="00FA732B" w:rsidTr="003677B7">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2) проект спрямований на інтеграцію енергетичної системи України та Європи (зокрема на збільшення фізичних можливостей з експорту/імпорту електричної енергії з країн ЄС)</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8</w:t>
            </w:r>
          </w:p>
        </w:tc>
      </w:tr>
      <w:tr w:rsidR="00FA732B" w:rsidTr="003677B7">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3) проект спрямований виключно на забезпечення захисту інфраструктури в секторі “паливно-енергетичний сектор”, підсекторах “електроенергетика”, “нафтова промисловість”, “газова промисловість”, “ядерна енергетика”, секторі “транспорт і пошта”, підсекторах “залізничний транспорт”, “морський та внутрішній водний транспорт” (зокрема, шляхом нового будівництва, реконструкції, капітального ремонту та інших інженерно-технічних заходів захисту)*</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8</w:t>
            </w:r>
          </w:p>
        </w:tc>
      </w:tr>
      <w:tr w:rsidR="00FA732B" w:rsidTr="008246F5">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4) проект спрямований на збільшення видобутку та зберігання природного газу або забезпечення розподілу</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4C59E0">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5) проект спрямований на будівництво нових/модернізацію та розширення пропускної спроможності існуючих пунктів пропуску на кордоні з країнами ЄС</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4C59E0">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6) проект спрямований на розвиток транспортної інфраструктури (морські порти, залізниця, автомобільні дороги, внутрішні водні шляхи) або розвиток автомобільних, залізничних, водних перевезень (оновлення рухомого складу, розвиток флоту тощо) з метою якнайшвидшого переміщення людей, товарів та послуг в західному напрямку або на експорт:</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6</w:t>
            </w:r>
          </w:p>
        </w:tc>
      </w:tr>
      <w:tr w:rsidR="00FA732B" w:rsidTr="003677B7">
        <w:trPr>
          <w:cantSplit/>
          <w:trHeight w:val="357"/>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ind w:left="283"/>
              <w:jc w:val="both"/>
              <w:rPr>
                <w:rFonts w:ascii="Times New Roman" w:hAnsi="Times New Roman"/>
                <w:color w:val="000000"/>
                <w:sz w:val="28"/>
                <w:szCs w:val="28"/>
              </w:rPr>
            </w:pPr>
            <w:r w:rsidRPr="00B4128F">
              <w:rPr>
                <w:rFonts w:ascii="Times New Roman" w:hAnsi="Times New Roman"/>
                <w:color w:val="000000"/>
                <w:sz w:val="28"/>
                <w:szCs w:val="28"/>
              </w:rPr>
              <w:t xml:space="preserve">проект усуває наявні </w:t>
            </w:r>
            <w:r w:rsidRPr="00B4128F">
              <w:rPr>
                <w:rFonts w:ascii="Times New Roman" w:hAnsi="Times New Roman"/>
                <w:color w:val="000000"/>
                <w:sz w:val="28"/>
                <w:szCs w:val="28"/>
                <w:lang w:val="ru-RU"/>
              </w:rPr>
              <w:t>“</w:t>
            </w:r>
            <w:r w:rsidRPr="00B4128F">
              <w:rPr>
                <w:rFonts w:ascii="Times New Roman" w:hAnsi="Times New Roman"/>
                <w:color w:val="000000"/>
                <w:sz w:val="28"/>
                <w:szCs w:val="28"/>
              </w:rPr>
              <w:t>вузькі місця в існуючій інфраструктурі</w:t>
            </w:r>
            <w:r w:rsidRPr="00B4128F">
              <w:rPr>
                <w:rFonts w:ascii="Times New Roman" w:hAnsi="Times New Roman"/>
                <w:color w:val="000000"/>
                <w:sz w:val="28"/>
                <w:szCs w:val="28"/>
                <w:lang w:val="ru-RU"/>
              </w:rPr>
              <w:t>”</w:t>
            </w:r>
            <w:r w:rsidRPr="00B4128F">
              <w:rPr>
                <w:rFonts w:ascii="Times New Roman" w:hAnsi="Times New Roman"/>
                <w:color w:val="000000"/>
                <w:sz w:val="28"/>
                <w:szCs w:val="28"/>
              </w:rPr>
              <w:t>**</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3677B7">
        <w:trPr>
          <w:cantSplit/>
          <w:trHeight w:val="2066"/>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7) проект спрямований на будівництво або розширення спроможності інженерно-транспортної інфраструктури (об’єкти інженерних, транспортних споруд і комунікацій (автомобільні дороги, зокрема, їх окремі складові, лінії зв’язку, засоби тепло-, газо-, водо- та електропостачання, інженерні комунікації тощо); індустріальних парків або інженерно-транспортної інфраструктури, що необхідна для реалізації інвестиційних проектів із значними інвестиціями або проектів державно-приватного партнерства</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3677B7">
        <w:trPr>
          <w:cantSplit/>
          <w:trHeight w:val="790"/>
        </w:trPr>
        <w:tc>
          <w:tcPr>
            <w:tcW w:w="2377" w:type="dxa"/>
            <w:gridSpan w:val="2"/>
            <w:tcBorders>
              <w:top w:val="nil"/>
              <w:left w:val="nil"/>
              <w:bottom w:val="single" w:sz="4" w:space="0" w:color="auto"/>
              <w:right w:val="single" w:sz="4" w:space="0" w:color="auto"/>
            </w:tcBorders>
          </w:tcPr>
          <w:p w:rsidR="003677B7" w:rsidRPr="00B4128F" w:rsidRDefault="003677B7">
            <w:pPr>
              <w:spacing w:before="120"/>
              <w:jc w:val="both"/>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8) проект спрямований на збереження операційної здатності аеропортів та управління повітряним рухом</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3</w:t>
            </w:r>
          </w:p>
        </w:tc>
      </w:tr>
      <w:tr w:rsidR="00FA732B" w:rsidTr="003677B7">
        <w:trPr>
          <w:cantSplit/>
        </w:trPr>
        <w:tc>
          <w:tcPr>
            <w:tcW w:w="236" w:type="dxa"/>
            <w:tcBorders>
              <w:top w:val="single" w:sz="4" w:space="0" w:color="auto"/>
              <w:left w:val="nil"/>
              <w:bottom w:val="nil"/>
              <w:right w:val="nil"/>
            </w:tcBorders>
          </w:tcPr>
          <w:p w:rsidR="003677B7" w:rsidRPr="00B4128F" w:rsidRDefault="003677B7">
            <w:pPr>
              <w:widowControl w:val="0"/>
              <w:spacing w:line="276" w:lineRule="auto"/>
              <w:rPr>
                <w:rFonts w:ascii="Times New Roman" w:hAnsi="Times New Roman"/>
                <w:color w:val="000000"/>
                <w:sz w:val="28"/>
                <w:szCs w:val="28"/>
              </w:rPr>
            </w:pPr>
          </w:p>
        </w:tc>
        <w:tc>
          <w:tcPr>
            <w:tcW w:w="2141" w:type="dxa"/>
            <w:vMerge w:val="restart"/>
            <w:tcBorders>
              <w:top w:val="single" w:sz="4" w:space="0" w:color="auto"/>
              <w:left w:val="nil"/>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2. Вплив на задоволення базових потреб громадян</w:t>
            </w: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9) проект спрямований на відновлення пошкодженої внаслідок збройної агресії Російською Федерацією інфраструктури в секторі “системи життєзабезпечення” (постачання теплової енергії, постачання гарячої води, централізоване питне водопостачання, централізоване водовідведення, управління побутовими відходами)*</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8</w:t>
            </w:r>
          </w:p>
        </w:tc>
      </w:tr>
      <w:tr w:rsidR="00FA732B" w:rsidTr="004C59E0">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vMerge/>
            <w:tcBorders>
              <w:top w:val="single" w:sz="4" w:space="0" w:color="auto"/>
              <w:left w:val="nil"/>
              <w:right w:val="single" w:sz="4" w:space="0" w:color="auto"/>
            </w:tcBorders>
            <w:vAlign w:val="center"/>
            <w:hideMark/>
          </w:tcPr>
          <w:p w:rsidR="003677B7" w:rsidRPr="00B4128F" w:rsidRDefault="003677B7">
            <w:pPr>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tabs>
                <w:tab w:val="left" w:pos="425"/>
              </w:tabs>
              <w:spacing w:before="120"/>
              <w:jc w:val="both"/>
              <w:rPr>
                <w:rFonts w:ascii="Times New Roman" w:hAnsi="Times New Roman"/>
                <w:color w:val="000000"/>
                <w:sz w:val="28"/>
                <w:szCs w:val="28"/>
              </w:rPr>
            </w:pPr>
            <w:r w:rsidRPr="00B4128F">
              <w:rPr>
                <w:rFonts w:ascii="Times New Roman" w:hAnsi="Times New Roman"/>
                <w:color w:val="000000"/>
                <w:sz w:val="28"/>
                <w:szCs w:val="28"/>
              </w:rPr>
              <w:t>10) проект спрямований виключно на захист інфраструктури в секторі “системи життєзабезпечення” (зокрема шляхом нового будівництва, реконструкції, капітального ремонту та інших інженерно-технічних заходів захисту)*</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8</w:t>
            </w:r>
          </w:p>
        </w:tc>
      </w:tr>
      <w:tr w:rsidR="00FA732B" w:rsidTr="004C59E0">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11) проект спрямований виключно на забезпечення фізичної безпеки населення від зовнішніх загроз (шляхом нового будівництва, капітального ремонту, реконструкції захисних споруди цивільного захисту — сховища, протирадіаційні укриття, споруди подвійного призначення із захисними властивостями сховищ або протирадіаційних укриттів)</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3677B7">
        <w:trPr>
          <w:cantSplit/>
          <w:trHeight w:val="20"/>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12) проект спрямований на відновлення пошкодженої внаслідок збройної агресії Російською Федерацією соціальної інфраструктури в секторі “охорона здоров’я” підсектору “медична допомога” (забезпечення надання екстреної медичної допомоги, забезпечення надання первинної медичної допомоги, забезпечення надання спеціалізованої медичної допомоги, забезпечення надання паліативної медичної допомоги, забезпечення надання реабілітації у сфері охорони здоров’я)*</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7</w:t>
            </w:r>
          </w:p>
        </w:tc>
      </w:tr>
      <w:tr w:rsidR="00FA732B" w:rsidTr="003677B7">
        <w:trPr>
          <w:cantSplit/>
          <w:trHeight w:val="20"/>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13) проект спрямований на відновлення/забезпечення житлом:</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3</w:t>
            </w:r>
          </w:p>
        </w:tc>
      </w:tr>
      <w:tr w:rsidR="00FA732B" w:rsidTr="003677B7">
        <w:trPr>
          <w:cantSplit/>
          <w:trHeight w:val="20"/>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top w:val="nil"/>
              <w:left w:val="nil"/>
              <w:bottom w:val="single" w:sz="4" w:space="0" w:color="auto"/>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ind w:left="283"/>
              <w:jc w:val="both"/>
              <w:rPr>
                <w:rFonts w:ascii="Times New Roman" w:hAnsi="Times New Roman"/>
                <w:color w:val="000000"/>
                <w:sz w:val="28"/>
                <w:szCs w:val="28"/>
              </w:rPr>
            </w:pPr>
            <w:r w:rsidRPr="00B4128F">
              <w:rPr>
                <w:rFonts w:ascii="Times New Roman" w:hAnsi="Times New Roman"/>
                <w:color w:val="000000"/>
                <w:sz w:val="28"/>
                <w:szCs w:val="28"/>
              </w:rPr>
              <w:t>ветеранів або внутрішньо переміщених осіб</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3677B7">
        <w:trPr>
          <w:cantSplit/>
          <w:trHeight w:val="20"/>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vMerge w:val="restart"/>
            <w:tcBorders>
              <w:top w:val="single" w:sz="4" w:space="0" w:color="auto"/>
              <w:left w:val="nil"/>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3. Вплив на задоволення інших соціальних потреб громадян</w:t>
            </w: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14) проект спрямований на відновлення пошкодженої внаслідок збройної агресії Російською Федерацією соціальної інфраструктури (школи, лікарні, дитячі садочки), крім тієї, що визначена в підпункті 12 типу впливу: “Вплив на задоволення базових потреб громадян”</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4C59E0">
        <w:trPr>
          <w:cantSplit/>
          <w:trHeight w:val="20"/>
        </w:trPr>
        <w:tc>
          <w:tcPr>
            <w:tcW w:w="236" w:type="dxa"/>
          </w:tcPr>
          <w:p w:rsidR="003677B7" w:rsidRPr="00B4128F" w:rsidRDefault="003677B7">
            <w:pPr>
              <w:widowControl w:val="0"/>
              <w:spacing w:line="276" w:lineRule="auto"/>
              <w:rPr>
                <w:rFonts w:ascii="Times New Roman" w:hAnsi="Times New Roman"/>
                <w:color w:val="000000"/>
                <w:sz w:val="28"/>
                <w:szCs w:val="28"/>
              </w:rPr>
            </w:pPr>
            <w:bookmarkStart w:id="3" w:name="_1fob9te"/>
            <w:bookmarkEnd w:id="3"/>
          </w:p>
        </w:tc>
        <w:tc>
          <w:tcPr>
            <w:tcW w:w="2141" w:type="dxa"/>
            <w:vMerge/>
            <w:tcBorders>
              <w:top w:val="single" w:sz="4" w:space="0" w:color="auto"/>
              <w:left w:val="nil"/>
              <w:right w:val="single" w:sz="4" w:space="0" w:color="auto"/>
            </w:tcBorders>
            <w:vAlign w:val="center"/>
            <w:hideMark/>
          </w:tcPr>
          <w:p w:rsidR="003677B7" w:rsidRPr="00B4128F" w:rsidRDefault="003677B7">
            <w:pPr>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15) проект спрямований на розвиток спроможної мережі медичних закладів в секторі “охорона здоров’я” підсектору “медична допомога” (забезпечення надання екстреної медичної допомоги, забезпечення надання первинної медичної допомоги, забезпечення надання спеціалізованої медичної допомоги, забезпечення надання паліативної медичної допомоги, забезпечення надання реабілітації у сфері охорони здоров’я):*</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4C59E0">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ind w:left="283"/>
              <w:jc w:val="both"/>
              <w:rPr>
                <w:rFonts w:ascii="Times New Roman" w:hAnsi="Times New Roman"/>
                <w:color w:val="000000"/>
                <w:sz w:val="28"/>
                <w:szCs w:val="28"/>
              </w:rPr>
            </w:pPr>
            <w:r w:rsidRPr="00B4128F">
              <w:rPr>
                <w:rFonts w:ascii="Times New Roman" w:hAnsi="Times New Roman"/>
                <w:color w:val="000000"/>
                <w:sz w:val="28"/>
                <w:szCs w:val="28"/>
              </w:rPr>
              <w:t>медична допомога, реабілітація, психологічної допомоги ветеранам</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5</w:t>
            </w:r>
          </w:p>
        </w:tc>
      </w:tr>
      <w:tr w:rsidR="00FA732B" w:rsidTr="00426712">
        <w:trPr>
          <w:cantSplit/>
        </w:trPr>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left w:val="nil"/>
              <w:right w:val="single" w:sz="4" w:space="0" w:color="auto"/>
            </w:tcBorders>
          </w:tcPr>
          <w:p w:rsidR="003677B7" w:rsidRPr="00B4128F" w:rsidRDefault="003677B7">
            <w:pPr>
              <w:widowControl w:val="0"/>
              <w:spacing w:line="276" w:lineRule="auto"/>
              <w:rPr>
                <w:rFonts w:ascii="Times New Roman" w:hAnsi="Times New Roman"/>
                <w:color w:val="000000"/>
                <w:sz w:val="28"/>
                <w:szCs w:val="28"/>
              </w:rPr>
            </w:pP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16) проект спрямований на розвиток мережі дошкільної освіти, повної загальної середньої освіти, професійно-технічної освіти</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4</w:t>
            </w:r>
          </w:p>
        </w:tc>
      </w:tr>
      <w:tr w:rsidR="00FA732B" w:rsidTr="00426712">
        <w:tc>
          <w:tcPr>
            <w:tcW w:w="236" w:type="dxa"/>
          </w:tcPr>
          <w:p w:rsidR="003677B7" w:rsidRPr="00B4128F" w:rsidRDefault="003677B7">
            <w:pPr>
              <w:widowControl w:val="0"/>
              <w:spacing w:line="276" w:lineRule="auto"/>
              <w:rPr>
                <w:rFonts w:ascii="Times New Roman" w:hAnsi="Times New Roman"/>
                <w:color w:val="000000"/>
                <w:sz w:val="28"/>
                <w:szCs w:val="28"/>
              </w:rPr>
            </w:pPr>
          </w:p>
        </w:tc>
        <w:tc>
          <w:tcPr>
            <w:tcW w:w="2141" w:type="dxa"/>
            <w:tcBorders>
              <w:left w:val="nil"/>
              <w:bottom w:val="single" w:sz="4" w:space="0" w:color="auto"/>
              <w:right w:val="single" w:sz="4" w:space="0" w:color="auto"/>
            </w:tcBorders>
            <w:hideMark/>
          </w:tcPr>
          <w:p w:rsidR="003677B7" w:rsidRPr="00B4128F" w:rsidRDefault="003677B7">
            <w:pPr>
              <w:spacing w:before="120"/>
              <w:rPr>
                <w:rFonts w:ascii="Times New Roman" w:hAnsi="Times New Roman"/>
                <w:color w:val="000000"/>
                <w:sz w:val="28"/>
                <w:szCs w:val="28"/>
              </w:rPr>
            </w:pPr>
            <w:r w:rsidRPr="00B4128F">
              <w:rPr>
                <w:rFonts w:ascii="Times New Roman" w:hAnsi="Times New Roman"/>
                <w:color w:val="000000"/>
                <w:sz w:val="28"/>
                <w:szCs w:val="28"/>
              </w:rPr>
              <w:t>4. Інші</w:t>
            </w:r>
          </w:p>
        </w:tc>
        <w:tc>
          <w:tcPr>
            <w:tcW w:w="10489" w:type="dxa"/>
            <w:tcBorders>
              <w:top w:val="single" w:sz="4" w:space="0" w:color="auto"/>
              <w:left w:val="single" w:sz="4" w:space="0" w:color="auto"/>
              <w:bottom w:val="single" w:sz="4" w:space="0" w:color="auto"/>
              <w:right w:val="single" w:sz="4" w:space="0" w:color="auto"/>
            </w:tcBorders>
            <w:hideMark/>
          </w:tcPr>
          <w:p w:rsidR="003677B7" w:rsidRPr="00B4128F" w:rsidRDefault="003677B7">
            <w:pPr>
              <w:spacing w:before="120"/>
              <w:jc w:val="both"/>
              <w:rPr>
                <w:rFonts w:ascii="Times New Roman" w:hAnsi="Times New Roman"/>
                <w:color w:val="000000"/>
                <w:sz w:val="28"/>
                <w:szCs w:val="28"/>
              </w:rPr>
            </w:pPr>
            <w:r w:rsidRPr="00B4128F">
              <w:rPr>
                <w:rFonts w:ascii="Times New Roman" w:hAnsi="Times New Roman"/>
                <w:color w:val="000000"/>
                <w:sz w:val="28"/>
                <w:szCs w:val="28"/>
              </w:rPr>
              <w:t>інші</w:t>
            </w:r>
          </w:p>
        </w:tc>
        <w:tc>
          <w:tcPr>
            <w:tcW w:w="2268" w:type="dxa"/>
            <w:tcBorders>
              <w:top w:val="single" w:sz="4" w:space="0" w:color="auto"/>
              <w:left w:val="single" w:sz="4" w:space="0" w:color="auto"/>
              <w:bottom w:val="single" w:sz="4" w:space="0" w:color="auto"/>
              <w:right w:val="nil"/>
            </w:tcBorders>
            <w:hideMark/>
          </w:tcPr>
          <w:p w:rsidR="003677B7" w:rsidRPr="00B4128F" w:rsidRDefault="003677B7">
            <w:pPr>
              <w:spacing w:before="120"/>
              <w:jc w:val="center"/>
              <w:rPr>
                <w:rFonts w:ascii="Times New Roman" w:hAnsi="Times New Roman"/>
                <w:color w:val="000000"/>
                <w:sz w:val="28"/>
                <w:szCs w:val="28"/>
              </w:rPr>
            </w:pPr>
            <w:r w:rsidRPr="00B4128F">
              <w:rPr>
                <w:rFonts w:ascii="Times New Roman" w:hAnsi="Times New Roman"/>
                <w:color w:val="000000"/>
                <w:sz w:val="28"/>
                <w:szCs w:val="28"/>
              </w:rPr>
              <w:t>0</w:t>
            </w:r>
          </w:p>
        </w:tc>
      </w:tr>
    </w:tbl>
    <w:p w:rsidR="003677B7" w:rsidRPr="00B4128F" w:rsidRDefault="003677B7" w:rsidP="003677B7">
      <w:pPr>
        <w:rPr>
          <w:rFonts w:ascii="Times New Roman" w:eastAsia="Antiqua" w:hAnsi="Times New Roman"/>
          <w:color w:val="000000"/>
        </w:rPr>
      </w:pPr>
      <w:r w:rsidRPr="00B4128F">
        <w:rPr>
          <w:rFonts w:ascii="Times New Roman" w:eastAsia="Antiqua" w:hAnsi="Times New Roman"/>
          <w:color w:val="000000"/>
        </w:rPr>
        <w:t>____</w:t>
      </w:r>
    </w:p>
    <w:p w:rsidR="003677B7" w:rsidRPr="00B4128F" w:rsidRDefault="003677B7" w:rsidP="003677B7">
      <w:pPr>
        <w:spacing w:before="120"/>
        <w:ind w:firstLine="567"/>
        <w:jc w:val="both"/>
        <w:rPr>
          <w:rFonts w:ascii="Times New Roman" w:hAnsi="Times New Roman"/>
          <w:color w:val="000000"/>
          <w:sz w:val="24"/>
          <w:szCs w:val="24"/>
        </w:rPr>
      </w:pPr>
      <w:r w:rsidRPr="00B4128F">
        <w:rPr>
          <w:rFonts w:ascii="Times New Roman" w:hAnsi="Times New Roman"/>
          <w:color w:val="000000"/>
          <w:sz w:val="24"/>
          <w:szCs w:val="24"/>
        </w:rPr>
        <w:t xml:space="preserve">* Посилання на сектори та підсектори вживаються відповідно до постанови Кабінету Міністрів України від 9 жовтня 2020 р. № 1109 </w:t>
      </w:r>
      <w:r w:rsidRPr="00B4128F">
        <w:rPr>
          <w:rFonts w:ascii="Times New Roman" w:hAnsi="Times New Roman"/>
          <w:bCs/>
          <w:color w:val="000000"/>
          <w:sz w:val="24"/>
          <w:szCs w:val="24"/>
        </w:rPr>
        <w:t>“</w:t>
      </w:r>
      <w:r w:rsidRPr="00B4128F">
        <w:rPr>
          <w:rFonts w:ascii="Times New Roman" w:hAnsi="Times New Roman"/>
          <w:color w:val="000000"/>
          <w:sz w:val="24"/>
          <w:szCs w:val="24"/>
        </w:rPr>
        <w:t>Деякі питання об’єктів критичної інфраструктури</w:t>
      </w:r>
      <w:r w:rsidRPr="00B4128F">
        <w:rPr>
          <w:rFonts w:ascii="Times New Roman" w:hAnsi="Times New Roman"/>
          <w:bCs/>
          <w:color w:val="000000"/>
          <w:sz w:val="24"/>
          <w:szCs w:val="24"/>
        </w:rPr>
        <w:t>”</w:t>
      </w:r>
      <w:r w:rsidRPr="00B4128F">
        <w:rPr>
          <w:rFonts w:ascii="Times New Roman" w:hAnsi="Times New Roman"/>
          <w:color w:val="000000"/>
          <w:sz w:val="24"/>
          <w:szCs w:val="24"/>
        </w:rPr>
        <w:t xml:space="preserve"> (Офіційний вісник України, 2020 р., № 93, ст. 2994).</w:t>
      </w:r>
    </w:p>
    <w:p w:rsidR="003677B7" w:rsidRPr="00B4128F" w:rsidRDefault="003677B7" w:rsidP="003677B7">
      <w:pPr>
        <w:spacing w:before="120"/>
        <w:ind w:firstLine="567"/>
        <w:jc w:val="both"/>
        <w:rPr>
          <w:rFonts w:ascii="Times New Roman" w:hAnsi="Times New Roman"/>
          <w:sz w:val="24"/>
          <w:szCs w:val="24"/>
        </w:rPr>
      </w:pPr>
      <w:r w:rsidRPr="00B4128F">
        <w:rPr>
          <w:rFonts w:ascii="Times New Roman" w:hAnsi="Times New Roman"/>
          <w:color w:val="000000"/>
          <w:sz w:val="24"/>
          <w:szCs w:val="24"/>
        </w:rPr>
        <w:t>** Під поняттям “вузькі місця в існуючій інфраструктурі” розуміється фізичне обмеження пропускної спроможності інфраструктури або її окремих елементів, що призводить до неможливості задоволення існуючого або швидко зростаючого попиту на товари/послуги, що забезпечує така інфраструктури (зокрема</w:t>
      </w:r>
      <w:r w:rsidR="00AA72E4" w:rsidRPr="00B4128F">
        <w:rPr>
          <w:rFonts w:ascii="Times New Roman" w:hAnsi="Times New Roman"/>
          <w:color w:val="000000"/>
          <w:sz w:val="24"/>
          <w:szCs w:val="24"/>
        </w:rPr>
        <w:t>,</w:t>
      </w:r>
      <w:r w:rsidRPr="00B4128F">
        <w:rPr>
          <w:rFonts w:ascii="Times New Roman" w:hAnsi="Times New Roman"/>
          <w:color w:val="000000"/>
          <w:sz w:val="24"/>
          <w:szCs w:val="24"/>
        </w:rPr>
        <w:t xml:space="preserve"> у зв’язку з неналежним технічним станом основних засобів, що пов’язано з відсутністю капітальних вкладень в утримання інфраструктури протягом довгого</w:t>
      </w:r>
      <w:r w:rsidR="00AA72E4" w:rsidRPr="00B4128F">
        <w:rPr>
          <w:rFonts w:ascii="Times New Roman" w:hAnsi="Times New Roman"/>
          <w:color w:val="000000"/>
          <w:sz w:val="24"/>
          <w:szCs w:val="24"/>
        </w:rPr>
        <w:t xml:space="preserve"> періоду</w:t>
      </w:r>
      <w:r w:rsidRPr="00B4128F">
        <w:rPr>
          <w:rFonts w:ascii="Times New Roman" w:hAnsi="Times New Roman"/>
          <w:color w:val="000000"/>
          <w:sz w:val="24"/>
          <w:szCs w:val="24"/>
        </w:rPr>
        <w:t>).</w:t>
      </w:r>
    </w:p>
    <w:p w:rsidR="003677B7" w:rsidRDefault="003677B7" w:rsidP="003677B7">
      <w:pPr>
        <w:pStyle w:val="3"/>
        <w:spacing w:before="480"/>
        <w:ind w:left="0"/>
        <w:jc w:val="center"/>
        <w:rPr>
          <w:rFonts w:ascii="Times New Roman" w:hAnsi="Times New Roman"/>
          <w:b w:val="0"/>
          <w:i w:val="0"/>
          <w:sz w:val="28"/>
          <w:szCs w:val="28"/>
        </w:rPr>
      </w:pPr>
      <w:r w:rsidRPr="001B5AF4">
        <w:rPr>
          <w:rFonts w:ascii="Times New Roman" w:hAnsi="Times New Roman"/>
          <w:b w:val="0"/>
          <w:i w:val="0"/>
          <w:sz w:val="28"/>
          <w:szCs w:val="28"/>
        </w:rPr>
        <w:t>_________________</w:t>
      </w:r>
      <w:r w:rsidRPr="00B4128F">
        <w:rPr>
          <w:rFonts w:ascii="Times New Roman" w:hAnsi="Times New Roman"/>
          <w:b w:val="0"/>
          <w:i w:val="0"/>
          <w:sz w:val="28"/>
          <w:szCs w:val="28"/>
        </w:rPr>
        <w:t>____</w:t>
      </w:r>
    </w:p>
    <w:p w:rsidR="00DC64C3" w:rsidRPr="00B92922" w:rsidRDefault="00DC64C3" w:rsidP="00B92922"/>
    <w:sectPr w:rsidR="00DC64C3" w:rsidRPr="00B92922" w:rsidSect="002140EB">
      <w:headerReference w:type="even" r:id="rId8"/>
      <w:headerReference w:type="default" r:id="rId9"/>
      <w:pgSz w:w="16838" w:h="11906" w:orient="landscape" w:code="9"/>
      <w:pgMar w:top="1361" w:right="1134" w:bottom="1531" w:left="1134" w:header="567" w:footer="153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451" w:rsidRDefault="00D92451">
      <w:r>
        <w:separator/>
      </w:r>
    </w:p>
  </w:endnote>
  <w:endnote w:type="continuationSeparator" w:id="0">
    <w:p w:rsidR="00D92451" w:rsidRDefault="00D9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451" w:rsidRDefault="00D92451">
      <w:r>
        <w:separator/>
      </w:r>
    </w:p>
  </w:footnote>
  <w:footnote w:type="continuationSeparator" w:id="0">
    <w:p w:rsidR="00D92451" w:rsidRDefault="00D92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Pr="007E0D9C" w:rsidRDefault="00525BBB">
    <w:pPr>
      <w:framePr w:wrap="around" w:vAnchor="text" w:hAnchor="margin" w:xAlign="center" w:y="1"/>
      <w:rPr>
        <w:rFonts w:ascii="Times New Roman" w:hAnsi="Times New Roman"/>
        <w:sz w:val="28"/>
        <w:szCs w:val="28"/>
      </w:rPr>
    </w:pPr>
    <w:r w:rsidRPr="007E0D9C">
      <w:rPr>
        <w:rFonts w:ascii="Times New Roman" w:hAnsi="Times New Roman"/>
        <w:sz w:val="28"/>
        <w:szCs w:val="28"/>
      </w:rPr>
      <w:fldChar w:fldCharType="begin"/>
    </w:r>
    <w:r w:rsidRPr="007E0D9C">
      <w:rPr>
        <w:rFonts w:ascii="Times New Roman" w:hAnsi="Times New Roman"/>
        <w:sz w:val="28"/>
        <w:szCs w:val="28"/>
      </w:rPr>
      <w:instrText xml:space="preserve">PAGE  </w:instrText>
    </w:r>
    <w:r w:rsidRPr="007E0D9C">
      <w:rPr>
        <w:rFonts w:ascii="Times New Roman" w:hAnsi="Times New Roman"/>
        <w:sz w:val="28"/>
        <w:szCs w:val="28"/>
      </w:rPr>
      <w:fldChar w:fldCharType="separate"/>
    </w:r>
    <w:r w:rsidR="00356A4F">
      <w:rPr>
        <w:rFonts w:ascii="Times New Roman" w:hAnsi="Times New Roman"/>
        <w:noProof/>
        <w:sz w:val="28"/>
        <w:szCs w:val="28"/>
      </w:rPr>
      <w:t>12</w:t>
    </w:r>
    <w:r w:rsidRPr="007E0D9C">
      <w:rPr>
        <w:rFonts w:ascii="Times New Roman" w:hAnsi="Times New Roman"/>
        <w:sz w:val="28"/>
        <w:szCs w:val="28"/>
      </w:rPr>
      <w:fldChar w:fldCharType="end"/>
    </w:r>
  </w:p>
  <w:p w:rsidR="00525BBB" w:rsidRPr="007E0D9C" w:rsidRDefault="007E0D9C" w:rsidP="007E0D9C">
    <w:pPr>
      <w:jc w:val="right"/>
      <w:rPr>
        <w:rFonts w:ascii="Times New Roman" w:hAnsi="Times New Roman"/>
        <w:sz w:val="28"/>
        <w:szCs w:val="28"/>
      </w:rPr>
    </w:pPr>
    <w:r w:rsidRPr="007E0D9C">
      <w:rPr>
        <w:rFonts w:ascii="Times New Roman" w:hAnsi="Times New Roman"/>
        <w:sz w:val="28"/>
        <w:szCs w:val="28"/>
      </w:rPr>
      <w:t>Продовження додатка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8A0877"/>
    <w:multiLevelType w:val="multilevel"/>
    <w:tmpl w:val="D2188736"/>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221A9"/>
    <w:rsid w:val="000452F0"/>
    <w:rsid w:val="00065622"/>
    <w:rsid w:val="00074659"/>
    <w:rsid w:val="000A08EE"/>
    <w:rsid w:val="000D7B04"/>
    <w:rsid w:val="000E5E45"/>
    <w:rsid w:val="001065A3"/>
    <w:rsid w:val="00107DAC"/>
    <w:rsid w:val="0019422C"/>
    <w:rsid w:val="001A5FC5"/>
    <w:rsid w:val="001B5AF4"/>
    <w:rsid w:val="001D1F84"/>
    <w:rsid w:val="001E4B21"/>
    <w:rsid w:val="002079E3"/>
    <w:rsid w:val="00210F96"/>
    <w:rsid w:val="002140EB"/>
    <w:rsid w:val="002646D0"/>
    <w:rsid w:val="00272B5F"/>
    <w:rsid w:val="002770F3"/>
    <w:rsid w:val="002974A9"/>
    <w:rsid w:val="002A6EF3"/>
    <w:rsid w:val="0030660A"/>
    <w:rsid w:val="00311696"/>
    <w:rsid w:val="00315527"/>
    <w:rsid w:val="00323D84"/>
    <w:rsid w:val="00341601"/>
    <w:rsid w:val="003551FA"/>
    <w:rsid w:val="00356A4F"/>
    <w:rsid w:val="003677B7"/>
    <w:rsid w:val="003A1E88"/>
    <w:rsid w:val="003B32A5"/>
    <w:rsid w:val="003B3E13"/>
    <w:rsid w:val="00426712"/>
    <w:rsid w:val="00427358"/>
    <w:rsid w:val="004426B7"/>
    <w:rsid w:val="00443C58"/>
    <w:rsid w:val="00480D04"/>
    <w:rsid w:val="00495981"/>
    <w:rsid w:val="004A175B"/>
    <w:rsid w:val="004B2C02"/>
    <w:rsid w:val="004B5440"/>
    <w:rsid w:val="004C29EB"/>
    <w:rsid w:val="004C393A"/>
    <w:rsid w:val="004C59E0"/>
    <w:rsid w:val="004D5105"/>
    <w:rsid w:val="00525BBB"/>
    <w:rsid w:val="00527058"/>
    <w:rsid w:val="0056465D"/>
    <w:rsid w:val="005F3FE7"/>
    <w:rsid w:val="0063408E"/>
    <w:rsid w:val="00656C92"/>
    <w:rsid w:val="00674AAA"/>
    <w:rsid w:val="00736884"/>
    <w:rsid w:val="00774A19"/>
    <w:rsid w:val="00783BEA"/>
    <w:rsid w:val="00786985"/>
    <w:rsid w:val="00797141"/>
    <w:rsid w:val="007B009F"/>
    <w:rsid w:val="007D7BAD"/>
    <w:rsid w:val="007E0D9C"/>
    <w:rsid w:val="007F0A42"/>
    <w:rsid w:val="008031A3"/>
    <w:rsid w:val="00813211"/>
    <w:rsid w:val="008246F5"/>
    <w:rsid w:val="00846F6D"/>
    <w:rsid w:val="009175E2"/>
    <w:rsid w:val="009957AD"/>
    <w:rsid w:val="009C0D0D"/>
    <w:rsid w:val="009F5F14"/>
    <w:rsid w:val="00A60321"/>
    <w:rsid w:val="00A76255"/>
    <w:rsid w:val="00A852C5"/>
    <w:rsid w:val="00AA72E4"/>
    <w:rsid w:val="00AB2CF4"/>
    <w:rsid w:val="00AE318D"/>
    <w:rsid w:val="00AF1064"/>
    <w:rsid w:val="00AF61D9"/>
    <w:rsid w:val="00B00143"/>
    <w:rsid w:val="00B2386D"/>
    <w:rsid w:val="00B33749"/>
    <w:rsid w:val="00B4128F"/>
    <w:rsid w:val="00B70177"/>
    <w:rsid w:val="00B92922"/>
    <w:rsid w:val="00BB0BD3"/>
    <w:rsid w:val="00BB11BD"/>
    <w:rsid w:val="00BF64FB"/>
    <w:rsid w:val="00C41366"/>
    <w:rsid w:val="00C50353"/>
    <w:rsid w:val="00C71161"/>
    <w:rsid w:val="00C73558"/>
    <w:rsid w:val="00C9037E"/>
    <w:rsid w:val="00CB74A3"/>
    <w:rsid w:val="00CC4C7B"/>
    <w:rsid w:val="00D157F8"/>
    <w:rsid w:val="00D62814"/>
    <w:rsid w:val="00D73F26"/>
    <w:rsid w:val="00D7695E"/>
    <w:rsid w:val="00D877A2"/>
    <w:rsid w:val="00D92451"/>
    <w:rsid w:val="00DA6D9D"/>
    <w:rsid w:val="00DC3041"/>
    <w:rsid w:val="00DC64C3"/>
    <w:rsid w:val="00DF1DC5"/>
    <w:rsid w:val="00E14E67"/>
    <w:rsid w:val="00E3704F"/>
    <w:rsid w:val="00E4703E"/>
    <w:rsid w:val="00F22F69"/>
    <w:rsid w:val="00F356B7"/>
    <w:rsid w:val="00F56ED8"/>
    <w:rsid w:val="00F72B4F"/>
    <w:rsid w:val="00FA732B"/>
    <w:rsid w:val="00FC29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808FB57-B363-47DB-895F-2E38A2273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link w:val="30"/>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table" w:styleId="ad">
    <w:name w:val="Table Grid"/>
    <w:basedOn w:val="a1"/>
    <w:rsid w:val="001E4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3677B7"/>
    <w:rPr>
      <w:rFonts w:ascii="Antiqua" w:hAnsi="Antiqua"/>
      <w:b/>
      <w:i/>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1339847574">
      <w:bodyDiv w:val="1"/>
      <w:marLeft w:val="0"/>
      <w:marRight w:val="0"/>
      <w:marTop w:val="0"/>
      <w:marBottom w:val="0"/>
      <w:divBdr>
        <w:top w:val="none" w:sz="0" w:space="0" w:color="auto"/>
        <w:left w:val="none" w:sz="0" w:space="0" w:color="auto"/>
        <w:bottom w:val="none" w:sz="0" w:space="0" w:color="auto"/>
        <w:right w:val="none" w:sz="0" w:space="0" w:color="auto"/>
      </w:divBdr>
    </w:div>
    <w:div w:id="163525644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4F6DF-4F11-47B1-8BBA-03B4CC39D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8648</Words>
  <Characters>4930</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cp:lastModifiedBy>Забара Марина Володимирівна</cp:lastModifiedBy>
  <cp:revision>2</cp:revision>
  <cp:lastPrinted>2002-04-19T12:13:00Z</cp:lastPrinted>
  <dcterms:created xsi:type="dcterms:W3CDTF">2024-08-06T06:50:00Z</dcterms:created>
  <dcterms:modified xsi:type="dcterms:W3CDTF">2024-08-06T06:50:00Z</dcterms:modified>
</cp:coreProperties>
</file>