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324" w:rsidRPr="004661E6" w:rsidRDefault="008244A4" w:rsidP="00032324">
      <w:pPr>
        <w:pStyle w:val="2"/>
        <w:ind w:firstLine="0"/>
        <w:jc w:val="center"/>
        <w:outlineLvl w:val="0"/>
        <w:rPr>
          <w:b/>
          <w:sz w:val="32"/>
          <w:szCs w:val="32"/>
        </w:rPr>
      </w:pPr>
      <w:r>
        <w:rPr>
          <w:b/>
          <w:sz w:val="32"/>
          <w:szCs w:val="32"/>
          <w:lang w:val="en-US"/>
        </w:rPr>
        <w:t xml:space="preserve">Information about the execution of the Consolidated Budget and the State Budget of Ukraine in Q1 of </w:t>
      </w:r>
      <w:r w:rsidR="00032324" w:rsidRPr="004661E6">
        <w:rPr>
          <w:b/>
          <w:sz w:val="32"/>
          <w:szCs w:val="32"/>
        </w:rPr>
        <w:t>201</w:t>
      </w:r>
      <w:r w:rsidR="00B65779" w:rsidRPr="008244A4">
        <w:rPr>
          <w:b/>
          <w:sz w:val="32"/>
          <w:szCs w:val="32"/>
          <w:lang w:val="en-US"/>
        </w:rPr>
        <w:t>8</w:t>
      </w:r>
      <w:r w:rsidR="00032324" w:rsidRPr="004661E6">
        <w:rPr>
          <w:b/>
          <w:sz w:val="32"/>
          <w:szCs w:val="32"/>
        </w:rPr>
        <w:t xml:space="preserve">  </w:t>
      </w:r>
    </w:p>
    <w:p w:rsidR="00032324" w:rsidRPr="004661E6" w:rsidRDefault="00032324" w:rsidP="008244A4">
      <w:pPr>
        <w:pStyle w:val="2"/>
        <w:ind w:firstLine="0"/>
        <w:jc w:val="center"/>
        <w:outlineLvl w:val="0"/>
        <w:rPr>
          <w:szCs w:val="28"/>
        </w:rPr>
      </w:pPr>
      <w:r w:rsidRPr="004661E6">
        <w:rPr>
          <w:szCs w:val="28"/>
        </w:rPr>
        <w:t>(</w:t>
      </w:r>
      <w:r w:rsidR="008244A4">
        <w:rPr>
          <w:szCs w:val="28"/>
          <w:lang w:val="en-US"/>
        </w:rPr>
        <w:t>according to the quarterly report of the State Treasury Office of Ukraine dd. May 05, 2018</w:t>
      </w:r>
      <w:r w:rsidRPr="004661E6">
        <w:rPr>
          <w:szCs w:val="28"/>
        </w:rPr>
        <w:t>)</w:t>
      </w:r>
    </w:p>
    <w:p w:rsidR="00E77D94" w:rsidRPr="004661E6" w:rsidRDefault="008244A4" w:rsidP="00E77D94">
      <w:pPr>
        <w:pStyle w:val="2"/>
        <w:spacing w:after="120"/>
        <w:ind w:firstLine="567"/>
        <w:jc w:val="center"/>
        <w:outlineLvl w:val="0"/>
        <w:rPr>
          <w:b/>
          <w:sz w:val="32"/>
          <w:szCs w:val="32"/>
          <w:u w:val="single"/>
        </w:rPr>
      </w:pPr>
      <w:r>
        <w:rPr>
          <w:b/>
          <w:sz w:val="32"/>
          <w:szCs w:val="32"/>
          <w:u w:val="single"/>
          <w:lang w:val="en-US"/>
        </w:rPr>
        <w:t xml:space="preserve">Key figures for Q1 of </w:t>
      </w:r>
      <w:r w:rsidR="00E77D94" w:rsidRPr="004661E6">
        <w:rPr>
          <w:b/>
          <w:sz w:val="32"/>
          <w:szCs w:val="32"/>
          <w:u w:val="single"/>
        </w:rPr>
        <w:t>2017-2018</w:t>
      </w:r>
    </w:p>
    <w:tbl>
      <w:tblPr>
        <w:tblStyle w:val="af6"/>
        <w:tblW w:w="9634" w:type="dxa"/>
        <w:tblLook w:val="04A0" w:firstRow="1" w:lastRow="0" w:firstColumn="1" w:lastColumn="0" w:noHBand="0" w:noVBand="1"/>
      </w:tblPr>
      <w:tblGrid>
        <w:gridCol w:w="2122"/>
        <w:gridCol w:w="898"/>
        <w:gridCol w:w="992"/>
        <w:gridCol w:w="850"/>
        <w:gridCol w:w="851"/>
        <w:gridCol w:w="1134"/>
        <w:gridCol w:w="992"/>
        <w:gridCol w:w="992"/>
        <w:gridCol w:w="803"/>
      </w:tblGrid>
      <w:tr w:rsidR="008244A4" w:rsidTr="00982CFE">
        <w:trPr>
          <w:trHeight w:val="360"/>
        </w:trPr>
        <w:tc>
          <w:tcPr>
            <w:tcW w:w="2122" w:type="dxa"/>
            <w:vMerge w:val="restart"/>
          </w:tcPr>
          <w:p w:rsidR="008244A4" w:rsidRDefault="008244A4" w:rsidP="008244A4">
            <w:pPr>
              <w:pStyle w:val="2"/>
              <w:spacing w:after="120"/>
              <w:ind w:firstLine="0"/>
              <w:jc w:val="center"/>
              <w:outlineLvl w:val="0"/>
              <w:rPr>
                <w:sz w:val="24"/>
                <w:szCs w:val="24"/>
                <w:lang w:val="en-US"/>
              </w:rPr>
            </w:pPr>
          </w:p>
          <w:p w:rsidR="008244A4" w:rsidRDefault="008244A4" w:rsidP="008244A4">
            <w:pPr>
              <w:pStyle w:val="2"/>
              <w:spacing w:after="120"/>
              <w:ind w:firstLine="0"/>
              <w:jc w:val="center"/>
              <w:outlineLvl w:val="0"/>
              <w:rPr>
                <w:sz w:val="24"/>
                <w:szCs w:val="24"/>
                <w:lang w:val="en-US"/>
              </w:rPr>
            </w:pPr>
          </w:p>
          <w:p w:rsidR="008244A4" w:rsidRPr="008244A4" w:rsidRDefault="008244A4" w:rsidP="008244A4">
            <w:pPr>
              <w:pStyle w:val="2"/>
              <w:spacing w:after="120"/>
              <w:ind w:firstLine="0"/>
              <w:jc w:val="center"/>
              <w:outlineLvl w:val="0"/>
              <w:rPr>
                <w:sz w:val="24"/>
                <w:szCs w:val="24"/>
                <w:lang w:val="en-US"/>
              </w:rPr>
            </w:pPr>
            <w:r w:rsidRPr="008244A4">
              <w:rPr>
                <w:sz w:val="24"/>
                <w:szCs w:val="24"/>
                <w:lang w:val="en-US"/>
              </w:rPr>
              <w:t>Title</w:t>
            </w:r>
          </w:p>
        </w:tc>
        <w:tc>
          <w:tcPr>
            <w:tcW w:w="3591" w:type="dxa"/>
            <w:gridSpan w:val="4"/>
          </w:tcPr>
          <w:p w:rsidR="008244A4" w:rsidRPr="008244A4" w:rsidRDefault="008244A4" w:rsidP="008244A4">
            <w:pPr>
              <w:pStyle w:val="2"/>
              <w:spacing w:after="120"/>
              <w:ind w:firstLine="0"/>
              <w:jc w:val="center"/>
              <w:outlineLvl w:val="0"/>
              <w:rPr>
                <w:sz w:val="24"/>
                <w:szCs w:val="24"/>
                <w:lang w:val="en-US"/>
              </w:rPr>
            </w:pPr>
            <w:r>
              <w:rPr>
                <w:sz w:val="24"/>
                <w:szCs w:val="24"/>
                <w:lang w:val="en-US"/>
              </w:rPr>
              <w:t>Consolidated budget</w:t>
            </w:r>
          </w:p>
        </w:tc>
        <w:tc>
          <w:tcPr>
            <w:tcW w:w="3921" w:type="dxa"/>
            <w:gridSpan w:val="4"/>
          </w:tcPr>
          <w:p w:rsidR="008244A4" w:rsidRPr="008244A4" w:rsidRDefault="008244A4" w:rsidP="008244A4">
            <w:pPr>
              <w:pStyle w:val="2"/>
              <w:spacing w:after="120"/>
              <w:ind w:firstLine="0"/>
              <w:jc w:val="center"/>
              <w:outlineLvl w:val="0"/>
              <w:rPr>
                <w:sz w:val="24"/>
                <w:szCs w:val="24"/>
                <w:lang w:val="en-US"/>
              </w:rPr>
            </w:pPr>
            <w:r>
              <w:rPr>
                <w:sz w:val="24"/>
                <w:szCs w:val="24"/>
                <w:lang w:val="en-US"/>
              </w:rPr>
              <w:t>State budget</w:t>
            </w:r>
          </w:p>
        </w:tc>
      </w:tr>
      <w:tr w:rsidR="008244A4" w:rsidTr="00982CFE">
        <w:trPr>
          <w:trHeight w:val="345"/>
        </w:trPr>
        <w:tc>
          <w:tcPr>
            <w:tcW w:w="2122" w:type="dxa"/>
            <w:vMerge/>
          </w:tcPr>
          <w:p w:rsidR="008244A4" w:rsidRPr="008244A4" w:rsidRDefault="008244A4" w:rsidP="000C4C40">
            <w:pPr>
              <w:pStyle w:val="2"/>
              <w:spacing w:after="120"/>
              <w:ind w:firstLine="0"/>
              <w:jc w:val="left"/>
              <w:outlineLvl w:val="0"/>
              <w:rPr>
                <w:sz w:val="24"/>
                <w:szCs w:val="24"/>
                <w:lang w:val="en-US"/>
              </w:rPr>
            </w:pPr>
          </w:p>
        </w:tc>
        <w:tc>
          <w:tcPr>
            <w:tcW w:w="898" w:type="dxa"/>
            <w:vMerge w:val="restart"/>
          </w:tcPr>
          <w:p w:rsidR="008244A4" w:rsidRPr="008244A4" w:rsidRDefault="008244A4" w:rsidP="008244A4">
            <w:pPr>
              <w:pStyle w:val="2"/>
              <w:spacing w:after="120"/>
              <w:ind w:firstLine="0"/>
              <w:jc w:val="center"/>
              <w:outlineLvl w:val="0"/>
              <w:rPr>
                <w:sz w:val="24"/>
                <w:szCs w:val="24"/>
                <w:lang w:val="en-US"/>
              </w:rPr>
            </w:pPr>
            <w:r>
              <w:rPr>
                <w:sz w:val="24"/>
                <w:szCs w:val="24"/>
                <w:lang w:val="en-US"/>
              </w:rPr>
              <w:t>Result, Q1 of 2017</w:t>
            </w:r>
          </w:p>
        </w:tc>
        <w:tc>
          <w:tcPr>
            <w:tcW w:w="992" w:type="dxa"/>
            <w:vMerge w:val="restart"/>
          </w:tcPr>
          <w:p w:rsidR="008244A4" w:rsidRPr="008244A4" w:rsidRDefault="008244A4" w:rsidP="008244A4">
            <w:pPr>
              <w:pStyle w:val="2"/>
              <w:spacing w:after="120"/>
              <w:ind w:firstLine="0"/>
              <w:jc w:val="center"/>
              <w:outlineLvl w:val="0"/>
              <w:rPr>
                <w:sz w:val="24"/>
                <w:szCs w:val="24"/>
                <w:lang w:val="en-US"/>
              </w:rPr>
            </w:pPr>
            <w:r>
              <w:rPr>
                <w:sz w:val="24"/>
                <w:szCs w:val="24"/>
                <w:lang w:val="en-US"/>
              </w:rPr>
              <w:t xml:space="preserve">Result, Q1 of 2018 </w:t>
            </w:r>
          </w:p>
        </w:tc>
        <w:tc>
          <w:tcPr>
            <w:tcW w:w="1701" w:type="dxa"/>
            <w:gridSpan w:val="2"/>
          </w:tcPr>
          <w:p w:rsidR="008244A4" w:rsidRPr="008244A4" w:rsidRDefault="008244A4" w:rsidP="008244A4">
            <w:pPr>
              <w:pStyle w:val="2"/>
              <w:spacing w:after="120"/>
              <w:ind w:firstLine="0"/>
              <w:jc w:val="center"/>
              <w:outlineLvl w:val="0"/>
              <w:rPr>
                <w:sz w:val="24"/>
                <w:szCs w:val="24"/>
                <w:lang w:val="en-US"/>
              </w:rPr>
            </w:pPr>
            <w:r>
              <w:rPr>
                <w:sz w:val="24"/>
                <w:szCs w:val="24"/>
                <w:lang w:val="en-US"/>
              </w:rPr>
              <w:t>deviation</w:t>
            </w:r>
          </w:p>
        </w:tc>
        <w:tc>
          <w:tcPr>
            <w:tcW w:w="1134" w:type="dxa"/>
            <w:vMerge w:val="restart"/>
          </w:tcPr>
          <w:p w:rsidR="008244A4" w:rsidRPr="008244A4" w:rsidRDefault="008452F9" w:rsidP="008244A4">
            <w:pPr>
              <w:pStyle w:val="2"/>
              <w:spacing w:after="120"/>
              <w:ind w:firstLine="0"/>
              <w:jc w:val="center"/>
              <w:outlineLvl w:val="0"/>
              <w:rPr>
                <w:sz w:val="24"/>
                <w:szCs w:val="24"/>
              </w:rPr>
            </w:pPr>
            <w:r>
              <w:rPr>
                <w:sz w:val="24"/>
                <w:szCs w:val="24"/>
                <w:lang w:val="en-US"/>
              </w:rPr>
              <w:t>Result, Q1 of 2017</w:t>
            </w:r>
          </w:p>
        </w:tc>
        <w:tc>
          <w:tcPr>
            <w:tcW w:w="992" w:type="dxa"/>
            <w:vMerge w:val="restart"/>
          </w:tcPr>
          <w:p w:rsidR="008244A4" w:rsidRPr="008244A4" w:rsidRDefault="008452F9" w:rsidP="008244A4">
            <w:pPr>
              <w:pStyle w:val="2"/>
              <w:spacing w:after="120"/>
              <w:ind w:firstLine="0"/>
              <w:jc w:val="center"/>
              <w:outlineLvl w:val="0"/>
              <w:rPr>
                <w:sz w:val="24"/>
                <w:szCs w:val="24"/>
              </w:rPr>
            </w:pPr>
            <w:r>
              <w:rPr>
                <w:sz w:val="24"/>
                <w:szCs w:val="24"/>
                <w:lang w:val="en-US"/>
              </w:rPr>
              <w:t>Result, Q1 of 2018</w:t>
            </w:r>
          </w:p>
        </w:tc>
        <w:tc>
          <w:tcPr>
            <w:tcW w:w="1795" w:type="dxa"/>
            <w:gridSpan w:val="2"/>
          </w:tcPr>
          <w:p w:rsidR="008244A4" w:rsidRPr="008244A4" w:rsidRDefault="008244A4" w:rsidP="008244A4">
            <w:pPr>
              <w:pStyle w:val="2"/>
              <w:spacing w:after="120"/>
              <w:ind w:firstLine="0"/>
              <w:jc w:val="center"/>
              <w:outlineLvl w:val="0"/>
              <w:rPr>
                <w:sz w:val="24"/>
                <w:szCs w:val="24"/>
                <w:lang w:val="en-US"/>
              </w:rPr>
            </w:pPr>
            <w:r>
              <w:rPr>
                <w:sz w:val="24"/>
                <w:szCs w:val="24"/>
                <w:lang w:val="en-US"/>
              </w:rPr>
              <w:t>deviation</w:t>
            </w:r>
          </w:p>
        </w:tc>
      </w:tr>
      <w:tr w:rsidR="008244A4" w:rsidTr="008244A4">
        <w:trPr>
          <w:trHeight w:val="855"/>
        </w:trPr>
        <w:tc>
          <w:tcPr>
            <w:tcW w:w="2122" w:type="dxa"/>
            <w:vMerge/>
          </w:tcPr>
          <w:p w:rsidR="008244A4" w:rsidRPr="008244A4" w:rsidRDefault="008244A4" w:rsidP="000C4C40">
            <w:pPr>
              <w:pStyle w:val="2"/>
              <w:spacing w:after="120"/>
              <w:ind w:firstLine="0"/>
              <w:jc w:val="left"/>
              <w:outlineLvl w:val="0"/>
              <w:rPr>
                <w:sz w:val="24"/>
                <w:szCs w:val="24"/>
                <w:lang w:val="en-US"/>
              </w:rPr>
            </w:pPr>
          </w:p>
        </w:tc>
        <w:tc>
          <w:tcPr>
            <w:tcW w:w="898" w:type="dxa"/>
            <w:vMerge/>
          </w:tcPr>
          <w:p w:rsidR="008244A4" w:rsidRDefault="008244A4" w:rsidP="008244A4">
            <w:pPr>
              <w:pStyle w:val="2"/>
              <w:spacing w:after="120"/>
              <w:ind w:firstLine="0"/>
              <w:jc w:val="center"/>
              <w:outlineLvl w:val="0"/>
              <w:rPr>
                <w:sz w:val="24"/>
                <w:szCs w:val="24"/>
              </w:rPr>
            </w:pPr>
          </w:p>
        </w:tc>
        <w:tc>
          <w:tcPr>
            <w:tcW w:w="992" w:type="dxa"/>
            <w:vMerge/>
          </w:tcPr>
          <w:p w:rsidR="008244A4" w:rsidRPr="008244A4" w:rsidRDefault="008244A4" w:rsidP="008244A4">
            <w:pPr>
              <w:pStyle w:val="2"/>
              <w:spacing w:after="120"/>
              <w:ind w:firstLine="0"/>
              <w:jc w:val="center"/>
              <w:outlineLvl w:val="0"/>
              <w:rPr>
                <w:sz w:val="24"/>
                <w:szCs w:val="24"/>
              </w:rPr>
            </w:pPr>
          </w:p>
        </w:tc>
        <w:tc>
          <w:tcPr>
            <w:tcW w:w="850" w:type="dxa"/>
          </w:tcPr>
          <w:p w:rsidR="008244A4" w:rsidRPr="008244A4" w:rsidRDefault="008244A4" w:rsidP="008244A4">
            <w:pPr>
              <w:pStyle w:val="2"/>
              <w:spacing w:after="120"/>
              <w:ind w:firstLine="0"/>
              <w:jc w:val="center"/>
              <w:outlineLvl w:val="0"/>
              <w:rPr>
                <w:sz w:val="24"/>
                <w:szCs w:val="24"/>
                <w:lang w:val="en-US"/>
              </w:rPr>
            </w:pPr>
            <w:r>
              <w:rPr>
                <w:sz w:val="24"/>
                <w:szCs w:val="24"/>
                <w:lang w:val="en-US"/>
              </w:rPr>
              <w:t>UAH bn</w:t>
            </w:r>
          </w:p>
        </w:tc>
        <w:tc>
          <w:tcPr>
            <w:tcW w:w="851" w:type="dxa"/>
          </w:tcPr>
          <w:p w:rsidR="008244A4" w:rsidRPr="008244A4" w:rsidRDefault="008244A4" w:rsidP="008244A4">
            <w:pPr>
              <w:pStyle w:val="2"/>
              <w:spacing w:after="120"/>
              <w:ind w:firstLine="0"/>
              <w:jc w:val="center"/>
              <w:outlineLvl w:val="0"/>
              <w:rPr>
                <w:sz w:val="24"/>
                <w:szCs w:val="24"/>
                <w:lang w:val="en-US"/>
              </w:rPr>
            </w:pPr>
            <w:r>
              <w:rPr>
                <w:sz w:val="24"/>
                <w:szCs w:val="24"/>
                <w:lang w:val="en-US"/>
              </w:rPr>
              <w:t>%</w:t>
            </w:r>
          </w:p>
        </w:tc>
        <w:tc>
          <w:tcPr>
            <w:tcW w:w="1134" w:type="dxa"/>
            <w:vMerge/>
          </w:tcPr>
          <w:p w:rsidR="008244A4" w:rsidRPr="008244A4" w:rsidRDefault="008244A4" w:rsidP="008244A4">
            <w:pPr>
              <w:pStyle w:val="2"/>
              <w:spacing w:after="120"/>
              <w:ind w:firstLine="0"/>
              <w:jc w:val="center"/>
              <w:outlineLvl w:val="0"/>
              <w:rPr>
                <w:sz w:val="24"/>
                <w:szCs w:val="24"/>
              </w:rPr>
            </w:pPr>
          </w:p>
        </w:tc>
        <w:tc>
          <w:tcPr>
            <w:tcW w:w="992" w:type="dxa"/>
            <w:vMerge/>
          </w:tcPr>
          <w:p w:rsidR="008244A4" w:rsidRPr="008244A4" w:rsidRDefault="008244A4" w:rsidP="008244A4">
            <w:pPr>
              <w:pStyle w:val="2"/>
              <w:spacing w:after="120"/>
              <w:ind w:firstLine="0"/>
              <w:jc w:val="center"/>
              <w:outlineLvl w:val="0"/>
              <w:rPr>
                <w:sz w:val="24"/>
                <w:szCs w:val="24"/>
              </w:rPr>
            </w:pPr>
          </w:p>
        </w:tc>
        <w:tc>
          <w:tcPr>
            <w:tcW w:w="992" w:type="dxa"/>
          </w:tcPr>
          <w:p w:rsidR="008244A4" w:rsidRPr="008452F9" w:rsidRDefault="008452F9" w:rsidP="008244A4">
            <w:pPr>
              <w:pStyle w:val="2"/>
              <w:spacing w:after="120"/>
              <w:ind w:firstLine="0"/>
              <w:jc w:val="center"/>
              <w:outlineLvl w:val="0"/>
              <w:rPr>
                <w:sz w:val="24"/>
                <w:szCs w:val="24"/>
                <w:lang w:val="en-US"/>
              </w:rPr>
            </w:pPr>
            <w:r>
              <w:rPr>
                <w:sz w:val="24"/>
                <w:szCs w:val="24"/>
                <w:lang w:val="en-US"/>
              </w:rPr>
              <w:t>UAH bn</w:t>
            </w:r>
          </w:p>
        </w:tc>
        <w:tc>
          <w:tcPr>
            <w:tcW w:w="803" w:type="dxa"/>
          </w:tcPr>
          <w:p w:rsidR="008244A4" w:rsidRPr="008452F9" w:rsidRDefault="008452F9" w:rsidP="008244A4">
            <w:pPr>
              <w:pStyle w:val="2"/>
              <w:spacing w:after="120"/>
              <w:ind w:firstLine="0"/>
              <w:jc w:val="center"/>
              <w:outlineLvl w:val="0"/>
              <w:rPr>
                <w:sz w:val="24"/>
                <w:szCs w:val="24"/>
                <w:lang w:val="en-US"/>
              </w:rPr>
            </w:pPr>
            <w:r>
              <w:rPr>
                <w:sz w:val="24"/>
                <w:szCs w:val="24"/>
                <w:lang w:val="en-US"/>
              </w:rPr>
              <w:t>%</w:t>
            </w:r>
          </w:p>
        </w:tc>
      </w:tr>
      <w:tr w:rsidR="008244A4" w:rsidTr="008244A4">
        <w:tc>
          <w:tcPr>
            <w:tcW w:w="2122" w:type="dxa"/>
          </w:tcPr>
          <w:p w:rsidR="008244A4" w:rsidRPr="008244A4" w:rsidRDefault="008244A4" w:rsidP="000C4C40">
            <w:pPr>
              <w:pStyle w:val="2"/>
              <w:spacing w:after="120"/>
              <w:ind w:firstLine="0"/>
              <w:jc w:val="left"/>
              <w:outlineLvl w:val="0"/>
              <w:rPr>
                <w:sz w:val="24"/>
                <w:szCs w:val="24"/>
                <w:lang w:val="en-US"/>
              </w:rPr>
            </w:pPr>
            <w:r>
              <w:rPr>
                <w:sz w:val="24"/>
                <w:szCs w:val="24"/>
                <w:lang w:val="en-US"/>
              </w:rPr>
              <w:t>Revenues</w:t>
            </w:r>
          </w:p>
        </w:tc>
        <w:tc>
          <w:tcPr>
            <w:tcW w:w="898"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220.5</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248.9</w:t>
            </w:r>
          </w:p>
        </w:tc>
        <w:tc>
          <w:tcPr>
            <w:tcW w:w="850"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28.4</w:t>
            </w:r>
          </w:p>
        </w:tc>
        <w:tc>
          <w:tcPr>
            <w:tcW w:w="851"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12.9</w:t>
            </w:r>
          </w:p>
        </w:tc>
        <w:tc>
          <w:tcPr>
            <w:tcW w:w="1134"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174.8</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193.6</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18.8</w:t>
            </w:r>
          </w:p>
        </w:tc>
        <w:tc>
          <w:tcPr>
            <w:tcW w:w="803"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10.8</w:t>
            </w:r>
          </w:p>
        </w:tc>
      </w:tr>
      <w:tr w:rsidR="008244A4" w:rsidTr="008244A4">
        <w:tc>
          <w:tcPr>
            <w:tcW w:w="2122" w:type="dxa"/>
          </w:tcPr>
          <w:p w:rsidR="008244A4" w:rsidRPr="008244A4" w:rsidRDefault="008244A4" w:rsidP="000C4C40">
            <w:pPr>
              <w:pStyle w:val="2"/>
              <w:spacing w:after="120"/>
              <w:ind w:firstLine="0"/>
              <w:jc w:val="left"/>
              <w:outlineLvl w:val="0"/>
              <w:rPr>
                <w:sz w:val="24"/>
                <w:szCs w:val="24"/>
                <w:lang w:val="en-US"/>
              </w:rPr>
            </w:pPr>
            <w:r>
              <w:rPr>
                <w:sz w:val="24"/>
                <w:szCs w:val="24"/>
                <w:lang w:val="en-US"/>
              </w:rPr>
              <w:t>Expenses</w:t>
            </w:r>
          </w:p>
        </w:tc>
        <w:tc>
          <w:tcPr>
            <w:tcW w:w="898"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216.5</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251.9</w:t>
            </w:r>
          </w:p>
        </w:tc>
        <w:tc>
          <w:tcPr>
            <w:tcW w:w="850"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35.4</w:t>
            </w:r>
          </w:p>
        </w:tc>
        <w:tc>
          <w:tcPr>
            <w:tcW w:w="851"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16.4</w:t>
            </w:r>
          </w:p>
        </w:tc>
        <w:tc>
          <w:tcPr>
            <w:tcW w:w="1134"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184.6</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214.3</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29.7</w:t>
            </w:r>
          </w:p>
        </w:tc>
        <w:tc>
          <w:tcPr>
            <w:tcW w:w="803"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16.1</w:t>
            </w:r>
          </w:p>
        </w:tc>
      </w:tr>
      <w:tr w:rsidR="008244A4" w:rsidTr="008244A4">
        <w:tc>
          <w:tcPr>
            <w:tcW w:w="2122" w:type="dxa"/>
          </w:tcPr>
          <w:p w:rsidR="008244A4" w:rsidRPr="008244A4" w:rsidRDefault="008244A4" w:rsidP="000C4C40">
            <w:pPr>
              <w:pStyle w:val="2"/>
              <w:spacing w:after="120"/>
              <w:ind w:firstLine="0"/>
              <w:jc w:val="left"/>
              <w:outlineLvl w:val="0"/>
              <w:rPr>
                <w:sz w:val="24"/>
                <w:szCs w:val="24"/>
                <w:lang w:val="en-US"/>
              </w:rPr>
            </w:pPr>
            <w:r>
              <w:rPr>
                <w:sz w:val="24"/>
                <w:szCs w:val="24"/>
                <w:lang w:val="en-US"/>
              </w:rPr>
              <w:t>Provision of loans</w:t>
            </w:r>
          </w:p>
        </w:tc>
        <w:tc>
          <w:tcPr>
            <w:tcW w:w="898"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1.5</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1.4</w:t>
            </w:r>
          </w:p>
        </w:tc>
        <w:tc>
          <w:tcPr>
            <w:tcW w:w="850"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-0.1</w:t>
            </w:r>
          </w:p>
        </w:tc>
        <w:tc>
          <w:tcPr>
            <w:tcW w:w="851"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-5.8</w:t>
            </w:r>
          </w:p>
        </w:tc>
        <w:tc>
          <w:tcPr>
            <w:tcW w:w="1134"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1.4</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1.3</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-0.1</w:t>
            </w:r>
          </w:p>
        </w:tc>
        <w:tc>
          <w:tcPr>
            <w:tcW w:w="803"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-7.1</w:t>
            </w:r>
          </w:p>
        </w:tc>
      </w:tr>
      <w:tr w:rsidR="008244A4" w:rsidTr="008244A4">
        <w:tc>
          <w:tcPr>
            <w:tcW w:w="2122" w:type="dxa"/>
          </w:tcPr>
          <w:p w:rsidR="008244A4" w:rsidRPr="008244A4" w:rsidRDefault="008244A4" w:rsidP="000C4C40">
            <w:pPr>
              <w:pStyle w:val="2"/>
              <w:spacing w:after="120"/>
              <w:ind w:firstLine="0"/>
              <w:jc w:val="left"/>
              <w:outlineLvl w:val="0"/>
              <w:rPr>
                <w:sz w:val="24"/>
                <w:szCs w:val="24"/>
                <w:lang w:val="en-US"/>
              </w:rPr>
            </w:pPr>
            <w:r>
              <w:rPr>
                <w:sz w:val="24"/>
                <w:szCs w:val="24"/>
                <w:lang w:val="en-US"/>
              </w:rPr>
              <w:t>Re-payment of loan</w:t>
            </w:r>
          </w:p>
        </w:tc>
        <w:tc>
          <w:tcPr>
            <w:tcW w:w="898"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-1.5</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-1.5</w:t>
            </w:r>
          </w:p>
        </w:tc>
        <w:tc>
          <w:tcPr>
            <w:tcW w:w="850"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0.0</w:t>
            </w:r>
          </w:p>
        </w:tc>
        <w:tc>
          <w:tcPr>
            <w:tcW w:w="851"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-1.8</w:t>
            </w:r>
          </w:p>
        </w:tc>
        <w:tc>
          <w:tcPr>
            <w:tcW w:w="1134"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-1.5</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-1.5</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0.0</w:t>
            </w:r>
          </w:p>
        </w:tc>
        <w:tc>
          <w:tcPr>
            <w:tcW w:w="803"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-1.9</w:t>
            </w:r>
          </w:p>
        </w:tc>
      </w:tr>
      <w:tr w:rsidR="008244A4" w:rsidTr="008244A4">
        <w:tc>
          <w:tcPr>
            <w:tcW w:w="2122" w:type="dxa"/>
          </w:tcPr>
          <w:p w:rsidR="008244A4" w:rsidRDefault="008244A4" w:rsidP="000C4C40">
            <w:pPr>
              <w:pStyle w:val="2"/>
              <w:spacing w:after="120"/>
              <w:ind w:firstLine="0"/>
              <w:jc w:val="left"/>
              <w:outlineLvl w:val="0"/>
              <w:rPr>
                <w:sz w:val="24"/>
                <w:szCs w:val="24"/>
                <w:lang w:val="en-US"/>
              </w:rPr>
            </w:pPr>
            <w:r>
              <w:rPr>
                <w:sz w:val="24"/>
                <w:szCs w:val="24"/>
                <w:lang w:val="en-US"/>
              </w:rPr>
              <w:t>Deficit (“+”)</w:t>
            </w:r>
          </w:p>
          <w:p w:rsidR="008244A4" w:rsidRPr="008244A4" w:rsidRDefault="008244A4" w:rsidP="000C4C40">
            <w:pPr>
              <w:pStyle w:val="2"/>
              <w:spacing w:after="120"/>
              <w:ind w:firstLine="0"/>
              <w:jc w:val="left"/>
              <w:outlineLvl w:val="0"/>
              <w:rPr>
                <w:sz w:val="24"/>
                <w:szCs w:val="24"/>
                <w:lang w:val="en-US"/>
              </w:rPr>
            </w:pPr>
            <w:r>
              <w:rPr>
                <w:sz w:val="24"/>
                <w:szCs w:val="24"/>
                <w:lang w:val="en-US"/>
              </w:rPr>
              <w:t>Surplus (“-”)</w:t>
            </w:r>
          </w:p>
        </w:tc>
        <w:tc>
          <w:tcPr>
            <w:tcW w:w="898"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-4.0</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3.0</w:t>
            </w:r>
          </w:p>
        </w:tc>
        <w:tc>
          <w:tcPr>
            <w:tcW w:w="850"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w:t>
            </w:r>
          </w:p>
        </w:tc>
        <w:tc>
          <w:tcPr>
            <w:tcW w:w="851"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w:t>
            </w:r>
          </w:p>
        </w:tc>
        <w:tc>
          <w:tcPr>
            <w:tcW w:w="1134"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9.7</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20.6</w:t>
            </w:r>
          </w:p>
        </w:tc>
        <w:tc>
          <w:tcPr>
            <w:tcW w:w="992"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w:t>
            </w:r>
          </w:p>
        </w:tc>
        <w:tc>
          <w:tcPr>
            <w:tcW w:w="803" w:type="dxa"/>
          </w:tcPr>
          <w:p w:rsidR="008244A4" w:rsidRPr="008452F9" w:rsidRDefault="008452F9" w:rsidP="008452F9">
            <w:pPr>
              <w:pStyle w:val="2"/>
              <w:spacing w:after="120"/>
              <w:ind w:firstLine="0"/>
              <w:jc w:val="right"/>
              <w:outlineLvl w:val="0"/>
              <w:rPr>
                <w:sz w:val="24"/>
                <w:szCs w:val="24"/>
                <w:lang w:val="en-US"/>
              </w:rPr>
            </w:pPr>
            <w:r>
              <w:rPr>
                <w:sz w:val="24"/>
                <w:szCs w:val="24"/>
                <w:lang w:val="en-US"/>
              </w:rPr>
              <w:t>-</w:t>
            </w:r>
          </w:p>
        </w:tc>
      </w:tr>
    </w:tbl>
    <w:p w:rsidR="008244A4" w:rsidRDefault="008244A4" w:rsidP="000C4C40">
      <w:pPr>
        <w:pStyle w:val="2"/>
        <w:spacing w:after="120"/>
        <w:ind w:firstLine="567"/>
        <w:jc w:val="left"/>
        <w:outlineLvl w:val="0"/>
        <w:rPr>
          <w:b/>
          <w:sz w:val="32"/>
          <w:szCs w:val="32"/>
          <w:u w:val="single"/>
        </w:rPr>
      </w:pPr>
    </w:p>
    <w:p w:rsidR="000C4C40" w:rsidRPr="005F46FB" w:rsidRDefault="008452F9" w:rsidP="008452F9">
      <w:pPr>
        <w:pStyle w:val="2"/>
        <w:spacing w:after="120"/>
        <w:ind w:firstLine="0"/>
        <w:jc w:val="left"/>
        <w:outlineLvl w:val="0"/>
        <w:rPr>
          <w:b/>
          <w:sz w:val="32"/>
          <w:szCs w:val="32"/>
          <w:u w:val="single"/>
        </w:rPr>
      </w:pPr>
      <w:r>
        <w:rPr>
          <w:b/>
          <w:sz w:val="32"/>
          <w:szCs w:val="32"/>
          <w:u w:val="single"/>
          <w:lang w:val="en-US"/>
        </w:rPr>
        <w:t>REVENUES</w:t>
      </w:r>
    </w:p>
    <w:p w:rsidR="000C4C40" w:rsidRDefault="008452F9" w:rsidP="008452F9">
      <w:pPr>
        <w:jc w:val="both"/>
        <w:rPr>
          <w:sz w:val="28"/>
          <w:szCs w:val="26"/>
        </w:rPr>
      </w:pPr>
      <w:r>
        <w:rPr>
          <w:sz w:val="28"/>
          <w:szCs w:val="26"/>
          <w:lang w:val="en-US"/>
        </w:rPr>
        <w:t>The</w:t>
      </w:r>
      <w:r w:rsidRPr="008452F9">
        <w:rPr>
          <w:sz w:val="28"/>
          <w:szCs w:val="26"/>
        </w:rPr>
        <w:t xml:space="preserve"> </w:t>
      </w:r>
      <w:r>
        <w:rPr>
          <w:sz w:val="28"/>
          <w:szCs w:val="26"/>
          <w:lang w:val="en-US"/>
        </w:rPr>
        <w:t>total</w:t>
      </w:r>
      <w:r w:rsidRPr="008452F9">
        <w:rPr>
          <w:sz w:val="28"/>
          <w:szCs w:val="26"/>
        </w:rPr>
        <w:t xml:space="preserve"> </w:t>
      </w:r>
      <w:r w:rsidRPr="008452F9">
        <w:rPr>
          <w:b/>
          <w:sz w:val="28"/>
          <w:szCs w:val="26"/>
          <w:lang w:val="en-US"/>
        </w:rPr>
        <w:t>revenues</w:t>
      </w:r>
      <w:r w:rsidRPr="008452F9">
        <w:rPr>
          <w:b/>
          <w:sz w:val="28"/>
          <w:szCs w:val="26"/>
        </w:rPr>
        <w:t xml:space="preserve"> </w:t>
      </w:r>
      <w:r w:rsidRPr="008452F9">
        <w:rPr>
          <w:b/>
          <w:sz w:val="28"/>
          <w:szCs w:val="26"/>
          <w:lang w:val="en-US"/>
        </w:rPr>
        <w:t>of</w:t>
      </w:r>
      <w:r w:rsidRPr="008452F9">
        <w:rPr>
          <w:b/>
          <w:sz w:val="28"/>
          <w:szCs w:val="26"/>
        </w:rPr>
        <w:t xml:space="preserve"> </w:t>
      </w:r>
      <w:r w:rsidRPr="008452F9">
        <w:rPr>
          <w:b/>
          <w:sz w:val="28"/>
          <w:szCs w:val="26"/>
          <w:lang w:val="en-US"/>
        </w:rPr>
        <w:t>the</w:t>
      </w:r>
      <w:r w:rsidRPr="008452F9">
        <w:rPr>
          <w:b/>
          <w:sz w:val="28"/>
          <w:szCs w:val="26"/>
        </w:rPr>
        <w:t xml:space="preserve"> </w:t>
      </w:r>
      <w:r w:rsidRPr="008452F9">
        <w:rPr>
          <w:b/>
          <w:sz w:val="28"/>
          <w:szCs w:val="26"/>
          <w:lang w:val="en-US"/>
        </w:rPr>
        <w:t>consolidated</w:t>
      </w:r>
      <w:r w:rsidRPr="008452F9">
        <w:rPr>
          <w:b/>
          <w:sz w:val="28"/>
          <w:szCs w:val="26"/>
        </w:rPr>
        <w:t xml:space="preserve"> </w:t>
      </w:r>
      <w:r w:rsidRPr="008452F9">
        <w:rPr>
          <w:b/>
          <w:sz w:val="28"/>
          <w:szCs w:val="26"/>
          <w:lang w:val="en-US"/>
        </w:rPr>
        <w:t>budget</w:t>
      </w:r>
      <w:r w:rsidRPr="008452F9">
        <w:rPr>
          <w:b/>
          <w:sz w:val="28"/>
          <w:szCs w:val="26"/>
        </w:rPr>
        <w:t xml:space="preserve"> </w:t>
      </w:r>
      <w:r w:rsidRPr="008452F9">
        <w:rPr>
          <w:b/>
          <w:sz w:val="28"/>
          <w:szCs w:val="26"/>
          <w:lang w:val="en-US"/>
        </w:rPr>
        <w:t>of</w:t>
      </w:r>
      <w:r w:rsidRPr="008452F9">
        <w:rPr>
          <w:b/>
          <w:sz w:val="28"/>
          <w:szCs w:val="26"/>
        </w:rPr>
        <w:t xml:space="preserve"> </w:t>
      </w:r>
      <w:r w:rsidRPr="008452F9">
        <w:rPr>
          <w:b/>
          <w:sz w:val="28"/>
          <w:szCs w:val="26"/>
          <w:lang w:val="en-US"/>
        </w:rPr>
        <w:t>Ukraine</w:t>
      </w:r>
      <w:r w:rsidRPr="008452F9">
        <w:rPr>
          <w:sz w:val="28"/>
          <w:szCs w:val="26"/>
        </w:rPr>
        <w:t xml:space="preserve"> </w:t>
      </w:r>
      <w:r>
        <w:rPr>
          <w:sz w:val="28"/>
          <w:szCs w:val="26"/>
          <w:lang w:val="en-US"/>
        </w:rPr>
        <w:t>in</w:t>
      </w:r>
      <w:r w:rsidRPr="008452F9">
        <w:rPr>
          <w:sz w:val="28"/>
          <w:szCs w:val="26"/>
        </w:rPr>
        <w:t xml:space="preserve"> </w:t>
      </w:r>
      <w:r>
        <w:rPr>
          <w:sz w:val="28"/>
          <w:szCs w:val="26"/>
          <w:lang w:val="en-US"/>
        </w:rPr>
        <w:t>Q</w:t>
      </w:r>
      <w:r w:rsidRPr="008452F9">
        <w:rPr>
          <w:sz w:val="28"/>
          <w:szCs w:val="26"/>
        </w:rPr>
        <w:t xml:space="preserve">1 </w:t>
      </w:r>
      <w:r>
        <w:rPr>
          <w:sz w:val="28"/>
          <w:szCs w:val="26"/>
          <w:lang w:val="en-US"/>
        </w:rPr>
        <w:t>of</w:t>
      </w:r>
      <w:r w:rsidRPr="008452F9">
        <w:rPr>
          <w:sz w:val="28"/>
          <w:szCs w:val="26"/>
        </w:rPr>
        <w:t xml:space="preserve"> 2018 </w:t>
      </w:r>
      <w:r>
        <w:rPr>
          <w:sz w:val="28"/>
          <w:szCs w:val="26"/>
          <w:lang w:val="en-US"/>
        </w:rPr>
        <w:t>was</w:t>
      </w:r>
      <w:r w:rsidRPr="008452F9">
        <w:rPr>
          <w:sz w:val="28"/>
          <w:szCs w:val="26"/>
        </w:rPr>
        <w:t xml:space="preserve"> </w:t>
      </w:r>
      <w:r>
        <w:rPr>
          <w:sz w:val="28"/>
          <w:szCs w:val="26"/>
          <w:lang w:val="en-US"/>
        </w:rPr>
        <w:t>equal</w:t>
      </w:r>
      <w:r w:rsidRPr="008452F9">
        <w:rPr>
          <w:sz w:val="28"/>
          <w:szCs w:val="26"/>
        </w:rPr>
        <w:t xml:space="preserve"> </w:t>
      </w:r>
      <w:r>
        <w:rPr>
          <w:sz w:val="28"/>
          <w:szCs w:val="26"/>
          <w:lang w:val="en-US"/>
        </w:rPr>
        <w:t>to</w:t>
      </w:r>
      <w:r w:rsidRPr="008452F9">
        <w:rPr>
          <w:sz w:val="28"/>
          <w:szCs w:val="26"/>
        </w:rPr>
        <w:t xml:space="preserve"> </w:t>
      </w:r>
      <w:r>
        <w:rPr>
          <w:sz w:val="28"/>
          <w:szCs w:val="26"/>
          <w:lang w:val="en-US"/>
        </w:rPr>
        <w:t>UAH</w:t>
      </w:r>
      <w:r w:rsidRPr="008452F9">
        <w:rPr>
          <w:sz w:val="28"/>
          <w:szCs w:val="26"/>
        </w:rPr>
        <w:t xml:space="preserve"> </w:t>
      </w:r>
      <w:r w:rsidR="000C4C40" w:rsidRPr="005F46FB">
        <w:rPr>
          <w:rFonts w:cs="Arial"/>
          <w:b/>
          <w:sz w:val="28"/>
          <w:szCs w:val="28"/>
        </w:rPr>
        <w:t>248</w:t>
      </w:r>
      <w:r w:rsidRPr="008452F9">
        <w:rPr>
          <w:rFonts w:cs="Arial"/>
          <w:b/>
          <w:sz w:val="28"/>
          <w:szCs w:val="28"/>
        </w:rPr>
        <w:t>.</w:t>
      </w:r>
      <w:r w:rsidR="000C4C40" w:rsidRPr="008452F9">
        <w:rPr>
          <w:rFonts w:cs="Arial"/>
          <w:b/>
          <w:sz w:val="28"/>
          <w:szCs w:val="28"/>
        </w:rPr>
        <w:t>9</w:t>
      </w:r>
      <w:r>
        <w:rPr>
          <w:rFonts w:cs="Arial"/>
          <w:b/>
          <w:sz w:val="28"/>
          <w:szCs w:val="28"/>
        </w:rPr>
        <w:t xml:space="preserve"> </w:t>
      </w:r>
      <w:r>
        <w:rPr>
          <w:sz w:val="28"/>
          <w:szCs w:val="26"/>
          <w:lang w:val="en-US"/>
        </w:rPr>
        <w:t>bn</w:t>
      </w:r>
      <w:r w:rsidR="000C4C40" w:rsidRPr="005F46FB">
        <w:rPr>
          <w:sz w:val="28"/>
          <w:szCs w:val="26"/>
        </w:rPr>
        <w:t xml:space="preserve">, </w:t>
      </w:r>
      <w:r>
        <w:rPr>
          <w:sz w:val="28"/>
          <w:szCs w:val="26"/>
          <w:lang w:val="en-US"/>
        </w:rPr>
        <w:t xml:space="preserve">which is UAH </w:t>
      </w:r>
      <w:r w:rsidR="000C4C40" w:rsidRPr="005F46FB">
        <w:rPr>
          <w:b/>
          <w:sz w:val="28"/>
          <w:szCs w:val="26"/>
        </w:rPr>
        <w:t>28</w:t>
      </w:r>
      <w:r>
        <w:rPr>
          <w:b/>
          <w:sz w:val="28"/>
          <w:szCs w:val="26"/>
          <w:lang w:val="en-US"/>
        </w:rPr>
        <w:t>.</w:t>
      </w:r>
      <w:r w:rsidR="000C4C40" w:rsidRPr="008452F9">
        <w:rPr>
          <w:b/>
          <w:sz w:val="28"/>
          <w:szCs w:val="26"/>
        </w:rPr>
        <w:t>4</w:t>
      </w:r>
      <w:r w:rsidR="000C4C40" w:rsidRPr="005F46FB">
        <w:rPr>
          <w:b/>
          <w:sz w:val="28"/>
          <w:szCs w:val="26"/>
        </w:rPr>
        <w:t xml:space="preserve"> </w:t>
      </w:r>
      <w:r>
        <w:rPr>
          <w:sz w:val="28"/>
          <w:szCs w:val="26"/>
          <w:lang w:val="en-US"/>
        </w:rPr>
        <w:t>bn (</w:t>
      </w:r>
      <w:r w:rsidR="000C4C40" w:rsidRPr="005F46FB">
        <w:rPr>
          <w:b/>
          <w:sz w:val="28"/>
          <w:szCs w:val="26"/>
        </w:rPr>
        <w:t>12</w:t>
      </w:r>
      <w:r>
        <w:rPr>
          <w:b/>
          <w:sz w:val="28"/>
          <w:szCs w:val="26"/>
          <w:lang w:val="en-US"/>
        </w:rPr>
        <w:t>.</w:t>
      </w:r>
      <w:r w:rsidR="000C4C40" w:rsidRPr="005F46FB">
        <w:rPr>
          <w:b/>
          <w:sz w:val="28"/>
          <w:szCs w:val="26"/>
        </w:rPr>
        <w:t>9 </w:t>
      </w:r>
      <w:r>
        <w:rPr>
          <w:sz w:val="28"/>
          <w:szCs w:val="26"/>
          <w:lang w:val="en-US"/>
        </w:rPr>
        <w:t xml:space="preserve">%) higher compared to Q1 of </w:t>
      </w:r>
      <w:r w:rsidR="000C4C40" w:rsidRPr="005F46FB">
        <w:rPr>
          <w:sz w:val="28"/>
          <w:szCs w:val="26"/>
        </w:rPr>
        <w:t xml:space="preserve">2017. </w:t>
      </w:r>
    </w:p>
    <w:p w:rsidR="000C4C40" w:rsidRDefault="008452F9" w:rsidP="008452F9">
      <w:pPr>
        <w:jc w:val="both"/>
        <w:rPr>
          <w:sz w:val="28"/>
          <w:szCs w:val="26"/>
        </w:rPr>
      </w:pPr>
      <w:r>
        <w:rPr>
          <w:b/>
          <w:sz w:val="28"/>
          <w:szCs w:val="26"/>
          <w:lang w:val="en-US"/>
        </w:rPr>
        <w:t>The</w:t>
      </w:r>
      <w:r w:rsidRPr="008452F9">
        <w:rPr>
          <w:b/>
          <w:sz w:val="28"/>
          <w:szCs w:val="26"/>
        </w:rPr>
        <w:t xml:space="preserve"> </w:t>
      </w:r>
      <w:r>
        <w:rPr>
          <w:b/>
          <w:sz w:val="28"/>
          <w:szCs w:val="26"/>
          <w:lang w:val="en-US"/>
        </w:rPr>
        <w:t>share</w:t>
      </w:r>
      <w:r w:rsidRPr="008452F9">
        <w:rPr>
          <w:b/>
          <w:sz w:val="28"/>
          <w:szCs w:val="26"/>
        </w:rPr>
        <w:t xml:space="preserve"> </w:t>
      </w:r>
      <w:r>
        <w:rPr>
          <w:b/>
          <w:sz w:val="28"/>
          <w:szCs w:val="26"/>
          <w:lang w:val="en-US"/>
        </w:rPr>
        <w:t>of</w:t>
      </w:r>
      <w:r w:rsidRPr="008452F9">
        <w:rPr>
          <w:b/>
          <w:sz w:val="28"/>
          <w:szCs w:val="26"/>
        </w:rPr>
        <w:t xml:space="preserve"> </w:t>
      </w:r>
      <w:r>
        <w:rPr>
          <w:b/>
          <w:sz w:val="28"/>
          <w:szCs w:val="26"/>
          <w:lang w:val="en-US"/>
        </w:rPr>
        <w:t>tax</w:t>
      </w:r>
      <w:r w:rsidRPr="008452F9">
        <w:rPr>
          <w:b/>
          <w:sz w:val="28"/>
          <w:szCs w:val="26"/>
        </w:rPr>
        <w:t xml:space="preserve"> </w:t>
      </w:r>
      <w:r>
        <w:rPr>
          <w:b/>
          <w:sz w:val="28"/>
          <w:szCs w:val="26"/>
          <w:lang w:val="en-US"/>
        </w:rPr>
        <w:t>and</w:t>
      </w:r>
      <w:r w:rsidRPr="008452F9">
        <w:rPr>
          <w:b/>
          <w:sz w:val="28"/>
          <w:szCs w:val="26"/>
        </w:rPr>
        <w:t xml:space="preserve"> </w:t>
      </w:r>
      <w:r>
        <w:rPr>
          <w:b/>
          <w:sz w:val="28"/>
          <w:szCs w:val="26"/>
          <w:lang w:val="en-US"/>
        </w:rPr>
        <w:t>non</w:t>
      </w:r>
      <w:r w:rsidRPr="008452F9">
        <w:rPr>
          <w:b/>
          <w:sz w:val="28"/>
          <w:szCs w:val="26"/>
        </w:rPr>
        <w:t>-</w:t>
      </w:r>
      <w:r>
        <w:rPr>
          <w:b/>
          <w:sz w:val="28"/>
          <w:szCs w:val="26"/>
          <w:lang w:val="en-US"/>
        </w:rPr>
        <w:t>tax</w:t>
      </w:r>
      <w:r w:rsidRPr="008452F9">
        <w:rPr>
          <w:b/>
          <w:sz w:val="28"/>
          <w:szCs w:val="26"/>
        </w:rPr>
        <w:t xml:space="preserve"> </w:t>
      </w:r>
      <w:r>
        <w:rPr>
          <w:b/>
          <w:sz w:val="28"/>
          <w:szCs w:val="26"/>
          <w:lang w:val="en-US"/>
        </w:rPr>
        <w:t>revenues</w:t>
      </w:r>
      <w:r w:rsidRPr="008452F9">
        <w:rPr>
          <w:b/>
          <w:sz w:val="28"/>
          <w:szCs w:val="26"/>
        </w:rPr>
        <w:t xml:space="preserve"> </w:t>
      </w:r>
      <w:r>
        <w:rPr>
          <w:sz w:val="28"/>
          <w:szCs w:val="26"/>
          <w:lang w:val="en-US"/>
        </w:rPr>
        <w:t>in</w:t>
      </w:r>
      <w:r w:rsidRPr="008452F9">
        <w:rPr>
          <w:sz w:val="28"/>
          <w:szCs w:val="26"/>
        </w:rPr>
        <w:t xml:space="preserve"> </w:t>
      </w:r>
      <w:r>
        <w:rPr>
          <w:sz w:val="28"/>
          <w:szCs w:val="26"/>
          <w:lang w:val="en-US"/>
        </w:rPr>
        <w:t>the</w:t>
      </w:r>
      <w:r w:rsidRPr="008452F9">
        <w:rPr>
          <w:sz w:val="28"/>
          <w:szCs w:val="26"/>
        </w:rPr>
        <w:t xml:space="preserve"> </w:t>
      </w:r>
      <w:r>
        <w:rPr>
          <w:sz w:val="28"/>
          <w:szCs w:val="26"/>
          <w:lang w:val="en-US"/>
        </w:rPr>
        <w:t>consolidated</w:t>
      </w:r>
      <w:r w:rsidRPr="008452F9">
        <w:rPr>
          <w:sz w:val="28"/>
          <w:szCs w:val="26"/>
        </w:rPr>
        <w:t xml:space="preserve"> </w:t>
      </w:r>
      <w:r>
        <w:rPr>
          <w:sz w:val="28"/>
          <w:szCs w:val="26"/>
          <w:lang w:val="en-US"/>
        </w:rPr>
        <w:t>budget</w:t>
      </w:r>
      <w:r w:rsidRPr="008452F9">
        <w:rPr>
          <w:sz w:val="28"/>
          <w:szCs w:val="26"/>
        </w:rPr>
        <w:t xml:space="preserve"> </w:t>
      </w:r>
      <w:r>
        <w:rPr>
          <w:sz w:val="28"/>
          <w:szCs w:val="26"/>
          <w:lang w:val="en-US"/>
        </w:rPr>
        <w:t>of</w:t>
      </w:r>
      <w:r w:rsidRPr="008452F9">
        <w:rPr>
          <w:sz w:val="28"/>
          <w:szCs w:val="26"/>
        </w:rPr>
        <w:t xml:space="preserve"> </w:t>
      </w:r>
      <w:r>
        <w:rPr>
          <w:sz w:val="28"/>
          <w:szCs w:val="26"/>
          <w:lang w:val="en-US"/>
        </w:rPr>
        <w:t>Ukraine</w:t>
      </w:r>
      <w:r w:rsidRPr="008452F9">
        <w:rPr>
          <w:sz w:val="28"/>
          <w:szCs w:val="26"/>
        </w:rPr>
        <w:t xml:space="preserve"> </w:t>
      </w:r>
      <w:r>
        <w:rPr>
          <w:sz w:val="28"/>
          <w:szCs w:val="26"/>
          <w:lang w:val="en-US"/>
        </w:rPr>
        <w:t>was</w:t>
      </w:r>
      <w:r w:rsidRPr="008452F9">
        <w:rPr>
          <w:sz w:val="28"/>
          <w:szCs w:val="26"/>
        </w:rPr>
        <w:t xml:space="preserve"> </w:t>
      </w:r>
      <w:r>
        <w:rPr>
          <w:sz w:val="28"/>
          <w:szCs w:val="26"/>
          <w:lang w:val="en-US"/>
        </w:rPr>
        <w:t>equal</w:t>
      </w:r>
      <w:r w:rsidRPr="008452F9">
        <w:rPr>
          <w:sz w:val="28"/>
          <w:szCs w:val="26"/>
        </w:rPr>
        <w:t xml:space="preserve"> </w:t>
      </w:r>
      <w:r>
        <w:rPr>
          <w:sz w:val="28"/>
          <w:szCs w:val="26"/>
          <w:lang w:val="en-US"/>
        </w:rPr>
        <w:t>to</w:t>
      </w:r>
      <w:r w:rsidRPr="008452F9">
        <w:rPr>
          <w:sz w:val="28"/>
          <w:szCs w:val="26"/>
        </w:rPr>
        <w:t xml:space="preserve"> </w:t>
      </w:r>
      <w:r w:rsidR="000C4C40" w:rsidRPr="00034D9A">
        <w:rPr>
          <w:b/>
          <w:sz w:val="28"/>
          <w:szCs w:val="26"/>
        </w:rPr>
        <w:t>89</w:t>
      </w:r>
      <w:r>
        <w:rPr>
          <w:b/>
          <w:sz w:val="28"/>
          <w:szCs w:val="26"/>
          <w:lang w:val="en-US"/>
        </w:rPr>
        <w:t>.</w:t>
      </w:r>
      <w:r w:rsidR="000C4C40" w:rsidRPr="00034D9A">
        <w:rPr>
          <w:b/>
          <w:sz w:val="28"/>
          <w:szCs w:val="26"/>
        </w:rPr>
        <w:t>6</w:t>
      </w:r>
      <w:r>
        <w:rPr>
          <w:b/>
          <w:sz w:val="28"/>
          <w:szCs w:val="26"/>
          <w:lang w:val="en-US"/>
        </w:rPr>
        <w:t>%</w:t>
      </w:r>
      <w:r>
        <w:rPr>
          <w:sz w:val="28"/>
          <w:szCs w:val="26"/>
        </w:rPr>
        <w:t xml:space="preserve"> </w:t>
      </w:r>
      <w:r>
        <w:rPr>
          <w:sz w:val="28"/>
          <w:szCs w:val="26"/>
          <w:lang w:val="en-US"/>
        </w:rPr>
        <w:t xml:space="preserve">and </w:t>
      </w:r>
      <w:r w:rsidR="000C4C40" w:rsidRPr="00034D9A">
        <w:rPr>
          <w:b/>
          <w:sz w:val="28"/>
          <w:szCs w:val="26"/>
        </w:rPr>
        <w:t>10</w:t>
      </w:r>
      <w:r>
        <w:rPr>
          <w:b/>
          <w:sz w:val="28"/>
          <w:szCs w:val="26"/>
          <w:lang w:val="en-US"/>
        </w:rPr>
        <w:t>.</w:t>
      </w:r>
      <w:r w:rsidR="000C4C40" w:rsidRPr="00034D9A">
        <w:rPr>
          <w:b/>
          <w:sz w:val="28"/>
          <w:szCs w:val="26"/>
        </w:rPr>
        <w:t>1</w:t>
      </w:r>
      <w:r>
        <w:rPr>
          <w:b/>
          <w:sz w:val="28"/>
          <w:szCs w:val="26"/>
          <w:lang w:val="en-US"/>
        </w:rPr>
        <w:t>%</w:t>
      </w:r>
      <w:r w:rsidR="000C4C40">
        <w:rPr>
          <w:sz w:val="28"/>
          <w:szCs w:val="26"/>
        </w:rPr>
        <w:t xml:space="preserve"> </w:t>
      </w:r>
      <w:r>
        <w:rPr>
          <w:sz w:val="28"/>
          <w:szCs w:val="26"/>
          <w:lang w:val="en-US"/>
        </w:rPr>
        <w:t>respectively</w:t>
      </w:r>
      <w:r w:rsidR="000C4C40">
        <w:rPr>
          <w:sz w:val="28"/>
          <w:szCs w:val="26"/>
        </w:rPr>
        <w:t>.</w:t>
      </w:r>
    </w:p>
    <w:p w:rsidR="000C4C40" w:rsidRDefault="006B7F06" w:rsidP="008452F9">
      <w:pPr>
        <w:jc w:val="both"/>
        <w:rPr>
          <w:sz w:val="28"/>
          <w:szCs w:val="28"/>
        </w:rPr>
      </w:pPr>
      <w:r>
        <w:rPr>
          <w:sz w:val="28"/>
          <w:szCs w:val="28"/>
          <w:lang w:val="en-US"/>
        </w:rPr>
        <w:t>The</w:t>
      </w:r>
      <w:r w:rsidRPr="006B7F06">
        <w:rPr>
          <w:sz w:val="28"/>
          <w:szCs w:val="28"/>
        </w:rPr>
        <w:t xml:space="preserve"> </w:t>
      </w:r>
      <w:r>
        <w:rPr>
          <w:sz w:val="28"/>
          <w:szCs w:val="28"/>
          <w:lang w:val="en-US"/>
        </w:rPr>
        <w:t>following</w:t>
      </w:r>
      <w:r w:rsidRPr="006B7F06">
        <w:rPr>
          <w:sz w:val="28"/>
          <w:szCs w:val="28"/>
        </w:rPr>
        <w:t xml:space="preserve"> </w:t>
      </w:r>
      <w:r>
        <w:rPr>
          <w:sz w:val="28"/>
          <w:szCs w:val="28"/>
          <w:lang w:val="en-US"/>
        </w:rPr>
        <w:t>taxes</w:t>
      </w:r>
      <w:r w:rsidRPr="006B7F06">
        <w:rPr>
          <w:sz w:val="28"/>
          <w:szCs w:val="28"/>
        </w:rPr>
        <w:t xml:space="preserve"> </w:t>
      </w:r>
      <w:r>
        <w:rPr>
          <w:sz w:val="28"/>
          <w:szCs w:val="28"/>
          <w:lang w:val="en-US"/>
        </w:rPr>
        <w:t>accounted</w:t>
      </w:r>
      <w:r w:rsidRPr="006B7F06">
        <w:rPr>
          <w:sz w:val="28"/>
          <w:szCs w:val="28"/>
        </w:rPr>
        <w:t xml:space="preserve"> </w:t>
      </w:r>
      <w:r>
        <w:rPr>
          <w:sz w:val="28"/>
          <w:szCs w:val="28"/>
          <w:lang w:val="en-US"/>
        </w:rPr>
        <w:t>for</w:t>
      </w:r>
      <w:r w:rsidRPr="006B7F06">
        <w:rPr>
          <w:sz w:val="28"/>
          <w:szCs w:val="28"/>
        </w:rPr>
        <w:t xml:space="preserve"> </w:t>
      </w:r>
      <w:r>
        <w:rPr>
          <w:sz w:val="28"/>
          <w:szCs w:val="28"/>
          <w:lang w:val="en-US"/>
        </w:rPr>
        <w:t>the</w:t>
      </w:r>
      <w:r w:rsidRPr="006B7F06">
        <w:rPr>
          <w:sz w:val="28"/>
          <w:szCs w:val="28"/>
        </w:rPr>
        <w:t xml:space="preserve"> </w:t>
      </w:r>
      <w:r>
        <w:rPr>
          <w:sz w:val="28"/>
          <w:szCs w:val="28"/>
          <w:lang w:val="en-US"/>
        </w:rPr>
        <w:t>highest</w:t>
      </w:r>
      <w:r w:rsidRPr="006B7F06">
        <w:rPr>
          <w:sz w:val="28"/>
          <w:szCs w:val="28"/>
        </w:rPr>
        <w:t xml:space="preserve"> </w:t>
      </w:r>
      <w:r>
        <w:rPr>
          <w:sz w:val="28"/>
          <w:szCs w:val="28"/>
          <w:lang w:val="en-US"/>
        </w:rPr>
        <w:t>share</w:t>
      </w:r>
      <w:r w:rsidRPr="006B7F06">
        <w:rPr>
          <w:sz w:val="28"/>
          <w:szCs w:val="28"/>
        </w:rPr>
        <w:t xml:space="preserve"> </w:t>
      </w:r>
      <w:r>
        <w:rPr>
          <w:sz w:val="28"/>
          <w:szCs w:val="28"/>
          <w:lang w:val="en-US"/>
        </w:rPr>
        <w:t>in</w:t>
      </w:r>
      <w:r w:rsidRPr="006B7F06">
        <w:rPr>
          <w:sz w:val="28"/>
          <w:szCs w:val="28"/>
        </w:rPr>
        <w:t xml:space="preserve"> </w:t>
      </w:r>
      <w:r>
        <w:rPr>
          <w:sz w:val="28"/>
          <w:szCs w:val="28"/>
          <w:lang w:val="en-US"/>
        </w:rPr>
        <w:t>the</w:t>
      </w:r>
      <w:r w:rsidRPr="006B7F06">
        <w:rPr>
          <w:sz w:val="28"/>
          <w:szCs w:val="28"/>
        </w:rPr>
        <w:t xml:space="preserve"> </w:t>
      </w:r>
      <w:r>
        <w:rPr>
          <w:sz w:val="28"/>
          <w:szCs w:val="28"/>
          <w:lang w:val="en-US"/>
        </w:rPr>
        <w:t>total</w:t>
      </w:r>
      <w:r w:rsidRPr="006B7F06">
        <w:rPr>
          <w:sz w:val="28"/>
          <w:szCs w:val="28"/>
        </w:rPr>
        <w:t xml:space="preserve"> </w:t>
      </w:r>
      <w:r>
        <w:rPr>
          <w:sz w:val="28"/>
          <w:szCs w:val="28"/>
          <w:lang w:val="en-US"/>
        </w:rPr>
        <w:t>tax</w:t>
      </w:r>
      <w:r w:rsidRPr="006B7F06">
        <w:rPr>
          <w:sz w:val="28"/>
          <w:szCs w:val="28"/>
        </w:rPr>
        <w:t xml:space="preserve"> </w:t>
      </w:r>
      <w:r>
        <w:rPr>
          <w:sz w:val="28"/>
          <w:szCs w:val="28"/>
          <w:lang w:val="en-US"/>
        </w:rPr>
        <w:t>revenues</w:t>
      </w:r>
      <w:r w:rsidRPr="006B7F06">
        <w:rPr>
          <w:sz w:val="28"/>
          <w:szCs w:val="28"/>
        </w:rPr>
        <w:t xml:space="preserve"> </w:t>
      </w:r>
      <w:r>
        <w:rPr>
          <w:sz w:val="28"/>
          <w:szCs w:val="28"/>
          <w:lang w:val="en-US"/>
        </w:rPr>
        <w:t>of</w:t>
      </w:r>
      <w:r w:rsidRPr="006B7F06">
        <w:rPr>
          <w:sz w:val="28"/>
          <w:szCs w:val="28"/>
        </w:rPr>
        <w:t xml:space="preserve"> </w:t>
      </w:r>
      <w:r>
        <w:rPr>
          <w:sz w:val="28"/>
          <w:szCs w:val="28"/>
          <w:lang w:val="en-US"/>
        </w:rPr>
        <w:t>the</w:t>
      </w:r>
      <w:r w:rsidRPr="006B7F06">
        <w:rPr>
          <w:sz w:val="28"/>
          <w:szCs w:val="28"/>
        </w:rPr>
        <w:t xml:space="preserve"> </w:t>
      </w:r>
      <w:r>
        <w:rPr>
          <w:sz w:val="28"/>
          <w:szCs w:val="28"/>
          <w:lang w:val="en-US"/>
        </w:rPr>
        <w:t>consolidated</w:t>
      </w:r>
      <w:r w:rsidRPr="006B7F06">
        <w:rPr>
          <w:sz w:val="28"/>
          <w:szCs w:val="28"/>
        </w:rPr>
        <w:t xml:space="preserve"> </w:t>
      </w:r>
      <w:r>
        <w:rPr>
          <w:sz w:val="28"/>
          <w:szCs w:val="28"/>
          <w:lang w:val="en-US"/>
        </w:rPr>
        <w:t>budget</w:t>
      </w:r>
      <w:r w:rsidRPr="006B7F06">
        <w:rPr>
          <w:sz w:val="28"/>
          <w:szCs w:val="28"/>
        </w:rPr>
        <w:t xml:space="preserve"> </w:t>
      </w:r>
      <w:r>
        <w:rPr>
          <w:sz w:val="28"/>
          <w:szCs w:val="28"/>
          <w:lang w:val="en-US"/>
        </w:rPr>
        <w:t>of</w:t>
      </w:r>
      <w:r w:rsidRPr="006B7F06">
        <w:rPr>
          <w:sz w:val="28"/>
          <w:szCs w:val="28"/>
        </w:rPr>
        <w:t xml:space="preserve"> </w:t>
      </w:r>
      <w:r>
        <w:rPr>
          <w:sz w:val="28"/>
          <w:szCs w:val="28"/>
          <w:lang w:val="en-US"/>
        </w:rPr>
        <w:t>Ukraine</w:t>
      </w:r>
      <w:r w:rsidR="000C4C40">
        <w:rPr>
          <w:sz w:val="28"/>
          <w:szCs w:val="28"/>
        </w:rPr>
        <w:t>:</w:t>
      </w:r>
    </w:p>
    <w:p w:rsidR="000C4C40" w:rsidRDefault="006B7F06" w:rsidP="000C4C40">
      <w:pPr>
        <w:pStyle w:val="af4"/>
        <w:numPr>
          <w:ilvl w:val="0"/>
          <w:numId w:val="14"/>
        </w:numPr>
        <w:jc w:val="both"/>
        <w:rPr>
          <w:sz w:val="28"/>
          <w:szCs w:val="28"/>
        </w:rPr>
      </w:pPr>
      <w:r>
        <w:rPr>
          <w:i/>
          <w:sz w:val="28"/>
          <w:szCs w:val="28"/>
          <w:lang w:val="en-US"/>
        </w:rPr>
        <w:t>VAT</w:t>
      </w:r>
      <w:r w:rsidR="000C4C40" w:rsidRPr="00034D9A">
        <w:rPr>
          <w:sz w:val="28"/>
          <w:szCs w:val="28"/>
        </w:rPr>
        <w:t xml:space="preserve"> – </w:t>
      </w:r>
      <w:r w:rsidR="000C4C40">
        <w:rPr>
          <w:b/>
          <w:sz w:val="28"/>
          <w:szCs w:val="28"/>
        </w:rPr>
        <w:t>33</w:t>
      </w:r>
      <w:r>
        <w:rPr>
          <w:b/>
          <w:sz w:val="28"/>
          <w:szCs w:val="28"/>
          <w:lang w:val="en-US"/>
        </w:rPr>
        <w:t>.</w:t>
      </w:r>
      <w:r w:rsidR="000C4C40">
        <w:rPr>
          <w:b/>
          <w:sz w:val="28"/>
          <w:szCs w:val="28"/>
        </w:rPr>
        <w:t>9</w:t>
      </w:r>
      <w:r>
        <w:rPr>
          <w:b/>
          <w:sz w:val="28"/>
          <w:szCs w:val="28"/>
          <w:lang w:val="en-US"/>
        </w:rPr>
        <w:t>%</w:t>
      </w:r>
      <w:r w:rsidR="000C4C40" w:rsidRPr="00034D9A">
        <w:rPr>
          <w:sz w:val="28"/>
          <w:szCs w:val="28"/>
        </w:rPr>
        <w:t>;</w:t>
      </w:r>
    </w:p>
    <w:p w:rsidR="000C4C40" w:rsidRPr="00E0345D" w:rsidRDefault="006B7F06" w:rsidP="000C4C40">
      <w:pPr>
        <w:pStyle w:val="af4"/>
        <w:numPr>
          <w:ilvl w:val="0"/>
          <w:numId w:val="14"/>
        </w:numPr>
        <w:jc w:val="both"/>
        <w:rPr>
          <w:i/>
          <w:sz w:val="28"/>
          <w:szCs w:val="28"/>
        </w:rPr>
      </w:pPr>
      <w:r>
        <w:rPr>
          <w:i/>
          <w:sz w:val="28"/>
          <w:szCs w:val="28"/>
          <w:lang w:val="en-US"/>
        </w:rPr>
        <w:t>Personal</w:t>
      </w:r>
      <w:r w:rsidRPr="006B7F06">
        <w:rPr>
          <w:i/>
          <w:sz w:val="28"/>
          <w:szCs w:val="28"/>
        </w:rPr>
        <w:t xml:space="preserve"> </w:t>
      </w:r>
      <w:r>
        <w:rPr>
          <w:i/>
          <w:sz w:val="28"/>
          <w:szCs w:val="28"/>
          <w:lang w:val="en-US"/>
        </w:rPr>
        <w:t>income</w:t>
      </w:r>
      <w:r w:rsidRPr="006B7F06">
        <w:rPr>
          <w:i/>
          <w:sz w:val="28"/>
          <w:szCs w:val="28"/>
        </w:rPr>
        <w:t xml:space="preserve"> </w:t>
      </w:r>
      <w:r>
        <w:rPr>
          <w:i/>
          <w:sz w:val="28"/>
          <w:szCs w:val="28"/>
          <w:lang w:val="en-US"/>
        </w:rPr>
        <w:t>tax</w:t>
      </w:r>
      <w:r w:rsidRPr="006B7F06">
        <w:rPr>
          <w:i/>
          <w:sz w:val="28"/>
          <w:szCs w:val="28"/>
        </w:rPr>
        <w:t xml:space="preserve"> </w:t>
      </w:r>
      <w:r>
        <w:rPr>
          <w:i/>
          <w:sz w:val="28"/>
          <w:szCs w:val="28"/>
          <w:lang w:val="en-US"/>
        </w:rPr>
        <w:t>and</w:t>
      </w:r>
      <w:r w:rsidRPr="006B7F06">
        <w:rPr>
          <w:i/>
          <w:sz w:val="28"/>
          <w:szCs w:val="28"/>
        </w:rPr>
        <w:t xml:space="preserve"> </w:t>
      </w:r>
      <w:r>
        <w:rPr>
          <w:i/>
          <w:sz w:val="28"/>
          <w:szCs w:val="28"/>
          <w:lang w:val="en-US"/>
        </w:rPr>
        <w:t>charge</w:t>
      </w:r>
      <w:r w:rsidRPr="006B7F06">
        <w:rPr>
          <w:i/>
          <w:sz w:val="28"/>
          <w:szCs w:val="28"/>
        </w:rPr>
        <w:t xml:space="preserve"> </w:t>
      </w:r>
      <w:r>
        <w:rPr>
          <w:i/>
          <w:sz w:val="28"/>
          <w:szCs w:val="28"/>
          <w:lang w:val="en-US"/>
        </w:rPr>
        <w:t>on</w:t>
      </w:r>
      <w:r w:rsidRPr="006B7F06">
        <w:rPr>
          <w:i/>
          <w:sz w:val="28"/>
          <w:szCs w:val="28"/>
        </w:rPr>
        <w:t xml:space="preserve"> </w:t>
      </w:r>
      <w:r>
        <w:rPr>
          <w:i/>
          <w:sz w:val="28"/>
          <w:szCs w:val="28"/>
          <w:lang w:val="en-US"/>
        </w:rPr>
        <w:t>personal</w:t>
      </w:r>
      <w:r w:rsidRPr="006B7F06">
        <w:rPr>
          <w:i/>
          <w:sz w:val="28"/>
          <w:szCs w:val="28"/>
        </w:rPr>
        <w:t xml:space="preserve"> </w:t>
      </w:r>
      <w:r>
        <w:rPr>
          <w:i/>
          <w:sz w:val="28"/>
          <w:szCs w:val="28"/>
          <w:lang w:val="en-US"/>
        </w:rPr>
        <w:t>income</w:t>
      </w:r>
      <w:r w:rsidR="000C4C40">
        <w:rPr>
          <w:b/>
          <w:sz w:val="28"/>
          <w:szCs w:val="28"/>
        </w:rPr>
        <w:t xml:space="preserve"> – 19</w:t>
      </w:r>
      <w:r w:rsidRPr="006B7F06">
        <w:rPr>
          <w:b/>
          <w:sz w:val="28"/>
          <w:szCs w:val="28"/>
        </w:rPr>
        <w:t>.</w:t>
      </w:r>
      <w:r w:rsidR="000C4C40">
        <w:rPr>
          <w:b/>
          <w:sz w:val="28"/>
          <w:szCs w:val="28"/>
        </w:rPr>
        <w:t>6</w:t>
      </w:r>
      <w:r>
        <w:rPr>
          <w:b/>
          <w:sz w:val="28"/>
          <w:szCs w:val="28"/>
          <w:lang w:val="en-US"/>
        </w:rPr>
        <w:t>%</w:t>
      </w:r>
      <w:r w:rsidR="000C4C40" w:rsidRPr="00E0345D">
        <w:rPr>
          <w:sz w:val="28"/>
          <w:szCs w:val="28"/>
        </w:rPr>
        <w:t>;</w:t>
      </w:r>
    </w:p>
    <w:p w:rsidR="000C4C40" w:rsidRPr="000C4C40" w:rsidRDefault="006B7F06" w:rsidP="000C4C40">
      <w:pPr>
        <w:pStyle w:val="af4"/>
        <w:numPr>
          <w:ilvl w:val="0"/>
          <w:numId w:val="14"/>
        </w:numPr>
        <w:jc w:val="both"/>
        <w:rPr>
          <w:i/>
          <w:sz w:val="28"/>
          <w:szCs w:val="28"/>
        </w:rPr>
      </w:pPr>
      <w:r>
        <w:rPr>
          <w:i/>
          <w:sz w:val="28"/>
          <w:szCs w:val="26"/>
          <w:lang w:val="en-US"/>
        </w:rPr>
        <w:t>Corporate profit tax</w:t>
      </w:r>
      <w:r w:rsidR="000C4C40">
        <w:rPr>
          <w:b/>
          <w:sz w:val="28"/>
          <w:szCs w:val="26"/>
        </w:rPr>
        <w:t xml:space="preserve"> – 12</w:t>
      </w:r>
      <w:r>
        <w:rPr>
          <w:b/>
          <w:sz w:val="28"/>
          <w:szCs w:val="26"/>
          <w:lang w:val="en-US"/>
        </w:rPr>
        <w:t>.</w:t>
      </w:r>
      <w:r w:rsidR="000C4C40">
        <w:rPr>
          <w:b/>
          <w:sz w:val="28"/>
          <w:szCs w:val="26"/>
        </w:rPr>
        <w:t>8</w:t>
      </w:r>
      <w:r>
        <w:rPr>
          <w:b/>
          <w:sz w:val="28"/>
          <w:szCs w:val="26"/>
          <w:lang w:val="en-US"/>
        </w:rPr>
        <w:t>%</w:t>
      </w:r>
      <w:r w:rsidR="000C4C40">
        <w:rPr>
          <w:sz w:val="28"/>
          <w:szCs w:val="26"/>
        </w:rPr>
        <w:t>;</w:t>
      </w:r>
    </w:p>
    <w:p w:rsidR="000C4C40" w:rsidRPr="000C4C40" w:rsidRDefault="006B7F06" w:rsidP="000C4C40">
      <w:pPr>
        <w:pStyle w:val="af4"/>
        <w:numPr>
          <w:ilvl w:val="0"/>
          <w:numId w:val="14"/>
        </w:numPr>
        <w:jc w:val="both"/>
        <w:rPr>
          <w:i/>
          <w:sz w:val="28"/>
          <w:szCs w:val="28"/>
        </w:rPr>
      </w:pPr>
      <w:r>
        <w:rPr>
          <w:i/>
          <w:sz w:val="28"/>
          <w:szCs w:val="26"/>
          <w:lang w:val="en-US"/>
        </w:rPr>
        <w:t>Excise tax</w:t>
      </w:r>
      <w:r w:rsidR="000C4C40">
        <w:rPr>
          <w:i/>
          <w:sz w:val="28"/>
          <w:szCs w:val="26"/>
        </w:rPr>
        <w:t xml:space="preserve"> </w:t>
      </w:r>
      <w:r w:rsidR="000C4C40" w:rsidRPr="00366E07">
        <w:rPr>
          <w:sz w:val="28"/>
          <w:szCs w:val="28"/>
        </w:rPr>
        <w:t>–</w:t>
      </w:r>
      <w:r w:rsidR="000C4C40">
        <w:rPr>
          <w:sz w:val="28"/>
          <w:szCs w:val="28"/>
        </w:rPr>
        <w:t xml:space="preserve"> </w:t>
      </w:r>
      <w:r w:rsidR="000C4C40">
        <w:rPr>
          <w:b/>
          <w:sz w:val="28"/>
          <w:szCs w:val="28"/>
        </w:rPr>
        <w:t>10</w:t>
      </w:r>
      <w:r>
        <w:rPr>
          <w:b/>
          <w:sz w:val="28"/>
          <w:szCs w:val="28"/>
          <w:lang w:val="en-US"/>
        </w:rPr>
        <w:t>%</w:t>
      </w:r>
      <w:r w:rsidR="000C4C40">
        <w:rPr>
          <w:sz w:val="28"/>
          <w:szCs w:val="28"/>
        </w:rPr>
        <w:t>.</w:t>
      </w:r>
    </w:p>
    <w:p w:rsidR="000C4C40" w:rsidRDefault="006B7F06" w:rsidP="006B7F06">
      <w:pPr>
        <w:jc w:val="both"/>
        <w:rPr>
          <w:sz w:val="28"/>
          <w:szCs w:val="28"/>
        </w:rPr>
      </w:pPr>
      <w:r>
        <w:rPr>
          <w:sz w:val="28"/>
          <w:szCs w:val="26"/>
          <w:lang w:val="en-US"/>
        </w:rPr>
        <w:t>In</w:t>
      </w:r>
      <w:r w:rsidRPr="006B7F06">
        <w:rPr>
          <w:sz w:val="28"/>
          <w:szCs w:val="26"/>
        </w:rPr>
        <w:t xml:space="preserve"> </w:t>
      </w:r>
      <w:r>
        <w:rPr>
          <w:sz w:val="28"/>
          <w:szCs w:val="26"/>
          <w:lang w:val="en-US"/>
        </w:rPr>
        <w:t>Q</w:t>
      </w:r>
      <w:r w:rsidRPr="006B7F06">
        <w:rPr>
          <w:sz w:val="28"/>
          <w:szCs w:val="26"/>
        </w:rPr>
        <w:t xml:space="preserve">1 </w:t>
      </w:r>
      <w:r>
        <w:rPr>
          <w:sz w:val="28"/>
          <w:szCs w:val="26"/>
          <w:lang w:val="en-US"/>
        </w:rPr>
        <w:t>of</w:t>
      </w:r>
      <w:r w:rsidRPr="006B7F06">
        <w:rPr>
          <w:sz w:val="28"/>
          <w:szCs w:val="26"/>
        </w:rPr>
        <w:t xml:space="preserve"> </w:t>
      </w:r>
      <w:r w:rsidR="000C4C40" w:rsidRPr="005F46FB">
        <w:rPr>
          <w:sz w:val="28"/>
          <w:szCs w:val="26"/>
        </w:rPr>
        <w:t>2018</w:t>
      </w:r>
      <w:r w:rsidRPr="006B7F06">
        <w:rPr>
          <w:sz w:val="28"/>
          <w:szCs w:val="26"/>
        </w:rPr>
        <w:t xml:space="preserve">, </w:t>
      </w:r>
      <w:r>
        <w:rPr>
          <w:sz w:val="28"/>
          <w:szCs w:val="26"/>
          <w:lang w:val="en-US"/>
        </w:rPr>
        <w:t>the</w:t>
      </w:r>
      <w:r w:rsidRPr="006B7F06">
        <w:rPr>
          <w:sz w:val="28"/>
          <w:szCs w:val="26"/>
        </w:rPr>
        <w:t xml:space="preserve"> </w:t>
      </w:r>
      <w:r>
        <w:rPr>
          <w:sz w:val="28"/>
          <w:szCs w:val="26"/>
          <w:lang w:val="en-US"/>
        </w:rPr>
        <w:t>revenues</w:t>
      </w:r>
      <w:r w:rsidRPr="006B7F06">
        <w:rPr>
          <w:sz w:val="28"/>
          <w:szCs w:val="26"/>
        </w:rPr>
        <w:t xml:space="preserve"> </w:t>
      </w:r>
      <w:r>
        <w:rPr>
          <w:sz w:val="28"/>
          <w:szCs w:val="26"/>
          <w:lang w:val="en-US"/>
        </w:rPr>
        <w:t>of</w:t>
      </w:r>
      <w:r w:rsidRPr="006B7F06">
        <w:rPr>
          <w:sz w:val="28"/>
          <w:szCs w:val="26"/>
        </w:rPr>
        <w:t xml:space="preserve"> </w:t>
      </w:r>
      <w:r>
        <w:rPr>
          <w:sz w:val="28"/>
          <w:szCs w:val="26"/>
          <w:lang w:val="en-US"/>
        </w:rPr>
        <w:t>the</w:t>
      </w:r>
      <w:r w:rsidRPr="006B7F06">
        <w:rPr>
          <w:sz w:val="28"/>
          <w:szCs w:val="26"/>
        </w:rPr>
        <w:t xml:space="preserve"> </w:t>
      </w:r>
      <w:r>
        <w:rPr>
          <w:b/>
          <w:sz w:val="28"/>
          <w:szCs w:val="26"/>
          <w:lang w:val="en-US"/>
        </w:rPr>
        <w:t>state</w:t>
      </w:r>
      <w:r w:rsidRPr="006B7F06">
        <w:rPr>
          <w:b/>
          <w:sz w:val="28"/>
          <w:szCs w:val="26"/>
        </w:rPr>
        <w:t xml:space="preserve"> </w:t>
      </w:r>
      <w:r>
        <w:rPr>
          <w:b/>
          <w:sz w:val="28"/>
          <w:szCs w:val="26"/>
          <w:lang w:val="en-US"/>
        </w:rPr>
        <w:t>budget</w:t>
      </w:r>
      <w:r w:rsidRPr="006B7F06">
        <w:rPr>
          <w:b/>
          <w:sz w:val="28"/>
          <w:szCs w:val="26"/>
        </w:rPr>
        <w:t xml:space="preserve"> </w:t>
      </w:r>
      <w:r>
        <w:rPr>
          <w:b/>
          <w:sz w:val="28"/>
          <w:szCs w:val="26"/>
          <w:lang w:val="en-US"/>
        </w:rPr>
        <w:t>of</w:t>
      </w:r>
      <w:r w:rsidRPr="006B7F06">
        <w:rPr>
          <w:b/>
          <w:sz w:val="28"/>
          <w:szCs w:val="26"/>
        </w:rPr>
        <w:t xml:space="preserve"> </w:t>
      </w:r>
      <w:r>
        <w:rPr>
          <w:b/>
          <w:sz w:val="28"/>
          <w:szCs w:val="26"/>
          <w:lang w:val="en-US"/>
        </w:rPr>
        <w:t>Ukraine</w:t>
      </w:r>
      <w:r w:rsidRPr="006B7F06">
        <w:rPr>
          <w:b/>
          <w:sz w:val="28"/>
          <w:szCs w:val="26"/>
        </w:rPr>
        <w:t xml:space="preserve"> </w:t>
      </w:r>
      <w:r>
        <w:rPr>
          <w:sz w:val="28"/>
          <w:szCs w:val="26"/>
          <w:lang w:val="en-US"/>
        </w:rPr>
        <w:t>were</w:t>
      </w:r>
      <w:r w:rsidRPr="006B7F06">
        <w:rPr>
          <w:sz w:val="28"/>
          <w:szCs w:val="26"/>
        </w:rPr>
        <w:t xml:space="preserve"> </w:t>
      </w:r>
      <w:r>
        <w:rPr>
          <w:sz w:val="28"/>
          <w:szCs w:val="26"/>
          <w:lang w:val="en-US"/>
        </w:rPr>
        <w:t>equal</w:t>
      </w:r>
      <w:r w:rsidRPr="006B7F06">
        <w:rPr>
          <w:sz w:val="28"/>
          <w:szCs w:val="26"/>
        </w:rPr>
        <w:t xml:space="preserve"> </w:t>
      </w:r>
      <w:r>
        <w:rPr>
          <w:sz w:val="28"/>
          <w:szCs w:val="26"/>
          <w:lang w:val="en-US"/>
        </w:rPr>
        <w:t>to</w:t>
      </w:r>
      <w:r w:rsidRPr="006B7F06">
        <w:rPr>
          <w:sz w:val="28"/>
          <w:szCs w:val="26"/>
        </w:rPr>
        <w:t xml:space="preserve"> </w:t>
      </w:r>
      <w:r>
        <w:rPr>
          <w:sz w:val="28"/>
          <w:szCs w:val="26"/>
          <w:lang w:val="en-US"/>
        </w:rPr>
        <w:t>UAH</w:t>
      </w:r>
      <w:r w:rsidRPr="006B7F06">
        <w:rPr>
          <w:sz w:val="28"/>
          <w:szCs w:val="26"/>
        </w:rPr>
        <w:t xml:space="preserve"> </w:t>
      </w:r>
      <w:r w:rsidR="000C4C40" w:rsidRPr="005F46FB">
        <w:rPr>
          <w:b/>
          <w:sz w:val="28"/>
          <w:szCs w:val="26"/>
        </w:rPr>
        <w:t>193</w:t>
      </w:r>
      <w:r w:rsidRPr="006B7F06">
        <w:rPr>
          <w:b/>
          <w:sz w:val="28"/>
          <w:szCs w:val="26"/>
        </w:rPr>
        <w:t>.</w:t>
      </w:r>
      <w:r w:rsidR="000C4C40" w:rsidRPr="005F46FB">
        <w:rPr>
          <w:b/>
          <w:sz w:val="28"/>
          <w:szCs w:val="26"/>
        </w:rPr>
        <w:t>6 </w:t>
      </w:r>
      <w:r>
        <w:rPr>
          <w:sz w:val="28"/>
          <w:szCs w:val="26"/>
          <w:lang w:val="en-US"/>
        </w:rPr>
        <w:t>bn</w:t>
      </w:r>
      <w:r w:rsidR="000C4C40" w:rsidRPr="005F46FB">
        <w:rPr>
          <w:sz w:val="28"/>
          <w:szCs w:val="26"/>
        </w:rPr>
        <w:t xml:space="preserve">, </w:t>
      </w:r>
      <w:r>
        <w:rPr>
          <w:sz w:val="28"/>
          <w:szCs w:val="26"/>
          <w:lang w:val="en-US"/>
        </w:rPr>
        <w:t>which</w:t>
      </w:r>
      <w:r w:rsidRPr="006B7F06">
        <w:rPr>
          <w:sz w:val="28"/>
          <w:szCs w:val="26"/>
        </w:rPr>
        <w:t xml:space="preserve"> </w:t>
      </w:r>
      <w:r>
        <w:rPr>
          <w:sz w:val="28"/>
          <w:szCs w:val="26"/>
          <w:lang w:val="en-US"/>
        </w:rPr>
        <w:t>is</w:t>
      </w:r>
      <w:r w:rsidRPr="006B7F06">
        <w:rPr>
          <w:sz w:val="28"/>
          <w:szCs w:val="26"/>
        </w:rPr>
        <w:t xml:space="preserve"> </w:t>
      </w:r>
      <w:r>
        <w:rPr>
          <w:sz w:val="28"/>
          <w:szCs w:val="26"/>
          <w:lang w:val="en-US"/>
        </w:rPr>
        <w:t>UAH</w:t>
      </w:r>
      <w:r w:rsidRPr="006B7F06">
        <w:rPr>
          <w:sz w:val="28"/>
          <w:szCs w:val="26"/>
        </w:rPr>
        <w:t xml:space="preserve"> </w:t>
      </w:r>
      <w:r w:rsidR="000C4C40" w:rsidRPr="005F46FB">
        <w:rPr>
          <w:b/>
          <w:sz w:val="28"/>
          <w:szCs w:val="28"/>
        </w:rPr>
        <w:t>18</w:t>
      </w:r>
      <w:r w:rsidRPr="006B7F06">
        <w:rPr>
          <w:b/>
          <w:sz w:val="28"/>
          <w:szCs w:val="28"/>
        </w:rPr>
        <w:t>.</w:t>
      </w:r>
      <w:r w:rsidR="000C4C40" w:rsidRPr="005F46FB">
        <w:rPr>
          <w:b/>
          <w:sz w:val="28"/>
          <w:szCs w:val="28"/>
        </w:rPr>
        <w:t xml:space="preserve">8 </w:t>
      </w:r>
      <w:r>
        <w:rPr>
          <w:sz w:val="28"/>
          <w:szCs w:val="28"/>
          <w:lang w:val="en-US"/>
        </w:rPr>
        <w:t>bn</w:t>
      </w:r>
      <w:r w:rsidRPr="006B7F06">
        <w:rPr>
          <w:sz w:val="28"/>
          <w:szCs w:val="28"/>
        </w:rPr>
        <w:t xml:space="preserve"> (</w:t>
      </w:r>
      <w:r w:rsidR="000C4C40" w:rsidRPr="005F46FB">
        <w:rPr>
          <w:b/>
          <w:sz w:val="28"/>
          <w:szCs w:val="28"/>
        </w:rPr>
        <w:t>10</w:t>
      </w:r>
      <w:r w:rsidRPr="006B7F06">
        <w:rPr>
          <w:b/>
          <w:sz w:val="28"/>
          <w:szCs w:val="28"/>
        </w:rPr>
        <w:t>.</w:t>
      </w:r>
      <w:r w:rsidR="000C4C40" w:rsidRPr="005F46FB">
        <w:rPr>
          <w:b/>
          <w:sz w:val="28"/>
          <w:szCs w:val="28"/>
        </w:rPr>
        <w:t>8</w:t>
      </w:r>
      <w:r>
        <w:rPr>
          <w:b/>
          <w:sz w:val="28"/>
          <w:szCs w:val="28"/>
          <w:lang w:val="en-US"/>
        </w:rPr>
        <w:t>%</w:t>
      </w:r>
      <w:r>
        <w:rPr>
          <w:sz w:val="28"/>
          <w:szCs w:val="28"/>
          <w:lang w:val="en-US"/>
        </w:rPr>
        <w:t xml:space="preserve">) higher compared to Q1 of </w:t>
      </w:r>
      <w:r w:rsidR="000C4C40" w:rsidRPr="005F46FB">
        <w:rPr>
          <w:sz w:val="28"/>
          <w:szCs w:val="28"/>
        </w:rPr>
        <w:t>201</w:t>
      </w:r>
      <w:r w:rsidR="000C4C40" w:rsidRPr="006B7F06">
        <w:rPr>
          <w:sz w:val="28"/>
          <w:szCs w:val="28"/>
        </w:rPr>
        <w:t>7</w:t>
      </w:r>
      <w:r w:rsidR="000C4C40" w:rsidRPr="005F46FB">
        <w:rPr>
          <w:sz w:val="28"/>
          <w:szCs w:val="28"/>
        </w:rPr>
        <w:t>.</w:t>
      </w:r>
    </w:p>
    <w:p w:rsidR="000C4C40" w:rsidRDefault="00C73A4B" w:rsidP="00C73A4B">
      <w:pPr>
        <w:jc w:val="both"/>
        <w:rPr>
          <w:sz w:val="28"/>
          <w:szCs w:val="28"/>
        </w:rPr>
      </w:pPr>
      <w:r w:rsidRPr="00C73A4B">
        <w:rPr>
          <w:b/>
          <w:sz w:val="28"/>
          <w:szCs w:val="28"/>
          <w:lang w:val="en-US"/>
        </w:rPr>
        <w:t>Tax</w:t>
      </w:r>
      <w:r w:rsidRPr="00C73A4B">
        <w:rPr>
          <w:b/>
          <w:sz w:val="28"/>
          <w:szCs w:val="28"/>
        </w:rPr>
        <w:t xml:space="preserve"> </w:t>
      </w:r>
      <w:r w:rsidRPr="00C73A4B">
        <w:rPr>
          <w:b/>
          <w:sz w:val="28"/>
          <w:szCs w:val="28"/>
          <w:lang w:val="en-US"/>
        </w:rPr>
        <w:t>revenues</w:t>
      </w:r>
      <w:r w:rsidRPr="00C73A4B">
        <w:rPr>
          <w:sz w:val="28"/>
          <w:szCs w:val="28"/>
        </w:rPr>
        <w:t xml:space="preserve"> </w:t>
      </w:r>
      <w:r>
        <w:rPr>
          <w:sz w:val="28"/>
          <w:szCs w:val="28"/>
          <w:lang w:val="en-US"/>
        </w:rPr>
        <w:t>accounted</w:t>
      </w:r>
      <w:r w:rsidRPr="00C73A4B">
        <w:rPr>
          <w:sz w:val="28"/>
          <w:szCs w:val="28"/>
        </w:rPr>
        <w:t xml:space="preserve"> </w:t>
      </w:r>
      <w:r>
        <w:rPr>
          <w:sz w:val="28"/>
          <w:szCs w:val="28"/>
          <w:lang w:val="en-US"/>
        </w:rPr>
        <w:t>for</w:t>
      </w:r>
      <w:r w:rsidRPr="00C73A4B">
        <w:rPr>
          <w:sz w:val="28"/>
          <w:szCs w:val="28"/>
        </w:rPr>
        <w:t xml:space="preserve"> </w:t>
      </w:r>
      <w:r>
        <w:rPr>
          <w:sz w:val="28"/>
          <w:szCs w:val="28"/>
          <w:lang w:val="en-US"/>
        </w:rPr>
        <w:t>the</w:t>
      </w:r>
      <w:r w:rsidRPr="00C73A4B">
        <w:rPr>
          <w:sz w:val="28"/>
          <w:szCs w:val="28"/>
        </w:rPr>
        <w:t xml:space="preserve"> </w:t>
      </w:r>
      <w:r>
        <w:rPr>
          <w:sz w:val="28"/>
          <w:szCs w:val="28"/>
          <w:lang w:val="en-US"/>
        </w:rPr>
        <w:t>highest</w:t>
      </w:r>
      <w:r w:rsidRPr="00C73A4B">
        <w:rPr>
          <w:sz w:val="28"/>
          <w:szCs w:val="28"/>
        </w:rPr>
        <w:t xml:space="preserve"> </w:t>
      </w:r>
      <w:r w:rsidRPr="00C73A4B">
        <w:rPr>
          <w:b/>
          <w:sz w:val="28"/>
          <w:szCs w:val="28"/>
          <w:lang w:val="en-US"/>
        </w:rPr>
        <w:t>share</w:t>
      </w:r>
      <w:r w:rsidRPr="00C73A4B">
        <w:rPr>
          <w:sz w:val="28"/>
          <w:szCs w:val="28"/>
        </w:rPr>
        <w:t xml:space="preserve"> </w:t>
      </w:r>
      <w:r>
        <w:rPr>
          <w:sz w:val="28"/>
          <w:szCs w:val="28"/>
          <w:lang w:val="en-US"/>
        </w:rPr>
        <w:t>in</w:t>
      </w:r>
      <w:r w:rsidRPr="00C73A4B">
        <w:rPr>
          <w:sz w:val="28"/>
          <w:szCs w:val="28"/>
        </w:rPr>
        <w:t xml:space="preserve"> </w:t>
      </w:r>
      <w:r>
        <w:rPr>
          <w:sz w:val="28"/>
          <w:szCs w:val="28"/>
          <w:lang w:val="en-US"/>
        </w:rPr>
        <w:t>the</w:t>
      </w:r>
      <w:r w:rsidRPr="00C73A4B">
        <w:rPr>
          <w:sz w:val="28"/>
          <w:szCs w:val="28"/>
        </w:rPr>
        <w:t xml:space="preserve"> </w:t>
      </w:r>
      <w:r>
        <w:rPr>
          <w:sz w:val="28"/>
          <w:szCs w:val="28"/>
          <w:lang w:val="en-US"/>
        </w:rPr>
        <w:t>total</w:t>
      </w:r>
      <w:r w:rsidRPr="00C73A4B">
        <w:rPr>
          <w:sz w:val="28"/>
          <w:szCs w:val="28"/>
        </w:rPr>
        <w:t xml:space="preserve"> </w:t>
      </w:r>
      <w:r>
        <w:rPr>
          <w:sz w:val="28"/>
          <w:szCs w:val="28"/>
          <w:lang w:val="en-US"/>
        </w:rPr>
        <w:t>revenues</w:t>
      </w:r>
      <w:r w:rsidRPr="00C73A4B">
        <w:rPr>
          <w:sz w:val="28"/>
          <w:szCs w:val="28"/>
        </w:rPr>
        <w:t xml:space="preserve"> </w:t>
      </w:r>
      <w:r>
        <w:rPr>
          <w:sz w:val="28"/>
          <w:szCs w:val="28"/>
          <w:lang w:val="en-US"/>
        </w:rPr>
        <w:t>of</w:t>
      </w:r>
      <w:r w:rsidRPr="00C73A4B">
        <w:rPr>
          <w:sz w:val="28"/>
          <w:szCs w:val="28"/>
        </w:rPr>
        <w:t xml:space="preserve"> </w:t>
      </w:r>
      <w:r>
        <w:rPr>
          <w:sz w:val="28"/>
          <w:szCs w:val="28"/>
          <w:lang w:val="en-US"/>
        </w:rPr>
        <w:t>the</w:t>
      </w:r>
      <w:r w:rsidRPr="00C73A4B">
        <w:rPr>
          <w:sz w:val="28"/>
          <w:szCs w:val="28"/>
        </w:rPr>
        <w:t xml:space="preserve"> </w:t>
      </w:r>
      <w:r>
        <w:rPr>
          <w:sz w:val="28"/>
          <w:szCs w:val="28"/>
          <w:lang w:val="en-US"/>
        </w:rPr>
        <w:t>state</w:t>
      </w:r>
      <w:r w:rsidRPr="00C73A4B">
        <w:rPr>
          <w:sz w:val="28"/>
          <w:szCs w:val="28"/>
        </w:rPr>
        <w:t xml:space="preserve"> </w:t>
      </w:r>
      <w:r>
        <w:rPr>
          <w:sz w:val="28"/>
          <w:szCs w:val="28"/>
          <w:lang w:val="en-US"/>
        </w:rPr>
        <w:t>budget</w:t>
      </w:r>
      <w:r w:rsidRPr="00C73A4B">
        <w:rPr>
          <w:sz w:val="28"/>
          <w:szCs w:val="28"/>
        </w:rPr>
        <w:t xml:space="preserve"> </w:t>
      </w:r>
      <w:r>
        <w:rPr>
          <w:sz w:val="28"/>
          <w:szCs w:val="28"/>
          <w:lang w:val="en-US"/>
        </w:rPr>
        <w:t>of</w:t>
      </w:r>
      <w:r w:rsidRPr="00C73A4B">
        <w:rPr>
          <w:sz w:val="28"/>
          <w:szCs w:val="28"/>
        </w:rPr>
        <w:t xml:space="preserve"> </w:t>
      </w:r>
      <w:r>
        <w:rPr>
          <w:sz w:val="28"/>
          <w:szCs w:val="28"/>
          <w:lang w:val="en-US"/>
        </w:rPr>
        <w:t>Ukraine</w:t>
      </w:r>
      <w:r w:rsidRPr="00C73A4B">
        <w:rPr>
          <w:sz w:val="28"/>
          <w:szCs w:val="28"/>
        </w:rPr>
        <w:t xml:space="preserve"> (</w:t>
      </w:r>
      <w:r w:rsidRPr="00C73A4B">
        <w:rPr>
          <w:b/>
          <w:sz w:val="28"/>
          <w:szCs w:val="28"/>
        </w:rPr>
        <w:t>89.1%</w:t>
      </w:r>
      <w:r w:rsidRPr="00C73A4B">
        <w:rPr>
          <w:sz w:val="28"/>
          <w:szCs w:val="28"/>
        </w:rPr>
        <w:t xml:space="preserve">), </w:t>
      </w:r>
      <w:r>
        <w:rPr>
          <w:sz w:val="28"/>
          <w:szCs w:val="28"/>
          <w:lang w:val="en-US"/>
        </w:rPr>
        <w:t>including</w:t>
      </w:r>
      <w:r w:rsidR="000C4C40">
        <w:rPr>
          <w:sz w:val="28"/>
          <w:szCs w:val="28"/>
        </w:rPr>
        <w:t xml:space="preserve">: </w:t>
      </w:r>
    </w:p>
    <w:p w:rsidR="000C4C40" w:rsidRDefault="00C73A4B" w:rsidP="000C4C40">
      <w:pPr>
        <w:pStyle w:val="af4"/>
        <w:numPr>
          <w:ilvl w:val="0"/>
          <w:numId w:val="14"/>
        </w:numPr>
        <w:jc w:val="both"/>
        <w:rPr>
          <w:sz w:val="28"/>
          <w:szCs w:val="28"/>
        </w:rPr>
      </w:pPr>
      <w:r>
        <w:rPr>
          <w:i/>
          <w:sz w:val="28"/>
          <w:szCs w:val="28"/>
          <w:lang w:val="en-US"/>
        </w:rPr>
        <w:t>VAT</w:t>
      </w:r>
      <w:r w:rsidR="000C4C40" w:rsidRPr="00034D9A">
        <w:rPr>
          <w:sz w:val="28"/>
          <w:szCs w:val="28"/>
        </w:rPr>
        <w:t xml:space="preserve"> – </w:t>
      </w:r>
      <w:r w:rsidR="000C4C40" w:rsidRPr="00034D9A">
        <w:rPr>
          <w:b/>
          <w:sz w:val="28"/>
          <w:szCs w:val="28"/>
        </w:rPr>
        <w:t>43</w:t>
      </w:r>
      <w:r>
        <w:rPr>
          <w:b/>
          <w:sz w:val="28"/>
          <w:szCs w:val="28"/>
          <w:lang w:val="en-US"/>
        </w:rPr>
        <w:t>.</w:t>
      </w:r>
      <w:r w:rsidR="000C4C40" w:rsidRPr="00034D9A">
        <w:rPr>
          <w:b/>
          <w:sz w:val="28"/>
          <w:szCs w:val="28"/>
        </w:rPr>
        <w:t>6</w:t>
      </w:r>
      <w:r w:rsidRPr="00C73A4B">
        <w:rPr>
          <w:b/>
          <w:sz w:val="28"/>
          <w:szCs w:val="28"/>
        </w:rPr>
        <w:t>%</w:t>
      </w:r>
      <w:r w:rsidR="000C4C40" w:rsidRPr="00034D9A">
        <w:rPr>
          <w:sz w:val="28"/>
          <w:szCs w:val="28"/>
        </w:rPr>
        <w:t>;</w:t>
      </w:r>
    </w:p>
    <w:p w:rsidR="000C4C40" w:rsidRPr="00366E07" w:rsidRDefault="00C73A4B" w:rsidP="000C4C40">
      <w:pPr>
        <w:pStyle w:val="af4"/>
        <w:numPr>
          <w:ilvl w:val="0"/>
          <w:numId w:val="14"/>
        </w:numPr>
        <w:jc w:val="both"/>
        <w:rPr>
          <w:i/>
          <w:sz w:val="28"/>
          <w:szCs w:val="28"/>
        </w:rPr>
      </w:pPr>
      <w:r>
        <w:rPr>
          <w:i/>
          <w:sz w:val="28"/>
          <w:szCs w:val="26"/>
          <w:lang w:val="en-US"/>
        </w:rPr>
        <w:t>Corporate</w:t>
      </w:r>
      <w:r w:rsidRPr="00C73A4B">
        <w:rPr>
          <w:i/>
          <w:sz w:val="28"/>
          <w:szCs w:val="26"/>
        </w:rPr>
        <w:t xml:space="preserve"> </w:t>
      </w:r>
      <w:r>
        <w:rPr>
          <w:i/>
          <w:sz w:val="28"/>
          <w:szCs w:val="26"/>
          <w:lang w:val="en-US"/>
        </w:rPr>
        <w:t>profit</w:t>
      </w:r>
      <w:r w:rsidRPr="00C73A4B">
        <w:rPr>
          <w:i/>
          <w:sz w:val="28"/>
          <w:szCs w:val="26"/>
        </w:rPr>
        <w:t xml:space="preserve"> </w:t>
      </w:r>
      <w:r>
        <w:rPr>
          <w:i/>
          <w:sz w:val="28"/>
          <w:szCs w:val="26"/>
          <w:lang w:val="en-US"/>
        </w:rPr>
        <w:t>tax</w:t>
      </w:r>
      <w:r w:rsidR="000C4C40">
        <w:rPr>
          <w:b/>
          <w:sz w:val="28"/>
          <w:szCs w:val="26"/>
        </w:rPr>
        <w:t xml:space="preserve"> </w:t>
      </w:r>
      <w:r w:rsidR="000C4C40" w:rsidRPr="00366E07">
        <w:rPr>
          <w:sz w:val="28"/>
          <w:szCs w:val="26"/>
        </w:rPr>
        <w:t>–</w:t>
      </w:r>
      <w:r w:rsidR="000C4C40">
        <w:rPr>
          <w:b/>
          <w:sz w:val="28"/>
          <w:szCs w:val="26"/>
        </w:rPr>
        <w:t xml:space="preserve"> 15</w:t>
      </w:r>
      <w:r w:rsidRPr="00C73A4B">
        <w:rPr>
          <w:b/>
          <w:sz w:val="28"/>
          <w:szCs w:val="26"/>
        </w:rPr>
        <w:t>.</w:t>
      </w:r>
      <w:r w:rsidR="000C4C40">
        <w:rPr>
          <w:b/>
          <w:sz w:val="28"/>
          <w:szCs w:val="26"/>
        </w:rPr>
        <w:t>1</w:t>
      </w:r>
      <w:r>
        <w:rPr>
          <w:b/>
          <w:sz w:val="28"/>
          <w:szCs w:val="26"/>
          <w:lang w:val="en-US"/>
        </w:rPr>
        <w:t>%</w:t>
      </w:r>
      <w:r w:rsidR="000C4C40">
        <w:rPr>
          <w:sz w:val="28"/>
          <w:szCs w:val="26"/>
        </w:rPr>
        <w:t>;</w:t>
      </w:r>
    </w:p>
    <w:p w:rsidR="000C4C40" w:rsidRPr="00E0345D" w:rsidRDefault="00C73A4B" w:rsidP="000C4C40">
      <w:pPr>
        <w:pStyle w:val="af4"/>
        <w:numPr>
          <w:ilvl w:val="0"/>
          <w:numId w:val="14"/>
        </w:numPr>
        <w:jc w:val="both"/>
        <w:rPr>
          <w:i/>
          <w:sz w:val="28"/>
          <w:szCs w:val="28"/>
        </w:rPr>
      </w:pPr>
      <w:r>
        <w:rPr>
          <w:i/>
          <w:sz w:val="28"/>
          <w:szCs w:val="26"/>
          <w:lang w:val="en-US"/>
        </w:rPr>
        <w:t>Excise tax</w:t>
      </w:r>
      <w:r w:rsidR="000C4C40">
        <w:rPr>
          <w:i/>
          <w:sz w:val="28"/>
          <w:szCs w:val="26"/>
        </w:rPr>
        <w:t xml:space="preserve"> </w:t>
      </w:r>
      <w:r w:rsidR="000C4C40" w:rsidRPr="00366E07">
        <w:rPr>
          <w:sz w:val="28"/>
          <w:szCs w:val="28"/>
        </w:rPr>
        <w:t>–</w:t>
      </w:r>
      <w:r w:rsidR="000C4C40">
        <w:rPr>
          <w:sz w:val="28"/>
          <w:szCs w:val="28"/>
        </w:rPr>
        <w:t xml:space="preserve"> </w:t>
      </w:r>
      <w:r w:rsidR="000C4C40" w:rsidRPr="00366E07">
        <w:rPr>
          <w:b/>
          <w:sz w:val="28"/>
          <w:szCs w:val="28"/>
        </w:rPr>
        <w:t>12</w:t>
      </w:r>
      <w:r>
        <w:rPr>
          <w:b/>
          <w:sz w:val="28"/>
          <w:szCs w:val="28"/>
          <w:lang w:val="en-US"/>
        </w:rPr>
        <w:t>%</w:t>
      </w:r>
      <w:r w:rsidR="000C4C40">
        <w:rPr>
          <w:sz w:val="28"/>
          <w:szCs w:val="28"/>
        </w:rPr>
        <w:t>;</w:t>
      </w:r>
    </w:p>
    <w:p w:rsidR="000C4C40" w:rsidRPr="00173CBD" w:rsidRDefault="00C73A4B" w:rsidP="000C4C40">
      <w:pPr>
        <w:pStyle w:val="af4"/>
        <w:numPr>
          <w:ilvl w:val="0"/>
          <w:numId w:val="14"/>
        </w:numPr>
        <w:jc w:val="both"/>
        <w:rPr>
          <w:i/>
          <w:sz w:val="28"/>
          <w:szCs w:val="28"/>
        </w:rPr>
      </w:pPr>
      <w:r>
        <w:rPr>
          <w:i/>
          <w:sz w:val="28"/>
          <w:szCs w:val="28"/>
          <w:lang w:val="en-US"/>
        </w:rPr>
        <w:t>Personal</w:t>
      </w:r>
      <w:r w:rsidRPr="006B7F06">
        <w:rPr>
          <w:i/>
          <w:sz w:val="28"/>
          <w:szCs w:val="28"/>
        </w:rPr>
        <w:t xml:space="preserve"> </w:t>
      </w:r>
      <w:r>
        <w:rPr>
          <w:i/>
          <w:sz w:val="28"/>
          <w:szCs w:val="28"/>
          <w:lang w:val="en-US"/>
        </w:rPr>
        <w:t>income</w:t>
      </w:r>
      <w:r w:rsidRPr="006B7F06">
        <w:rPr>
          <w:i/>
          <w:sz w:val="28"/>
          <w:szCs w:val="28"/>
        </w:rPr>
        <w:t xml:space="preserve"> </w:t>
      </w:r>
      <w:r>
        <w:rPr>
          <w:i/>
          <w:sz w:val="28"/>
          <w:szCs w:val="28"/>
          <w:lang w:val="en-US"/>
        </w:rPr>
        <w:t>tax</w:t>
      </w:r>
      <w:r w:rsidRPr="006B7F06">
        <w:rPr>
          <w:i/>
          <w:sz w:val="28"/>
          <w:szCs w:val="28"/>
        </w:rPr>
        <w:t xml:space="preserve"> </w:t>
      </w:r>
      <w:r>
        <w:rPr>
          <w:i/>
          <w:sz w:val="28"/>
          <w:szCs w:val="28"/>
          <w:lang w:val="en-US"/>
        </w:rPr>
        <w:t>and</w:t>
      </w:r>
      <w:r w:rsidRPr="006B7F06">
        <w:rPr>
          <w:i/>
          <w:sz w:val="28"/>
          <w:szCs w:val="28"/>
        </w:rPr>
        <w:t xml:space="preserve"> </w:t>
      </w:r>
      <w:r>
        <w:rPr>
          <w:i/>
          <w:sz w:val="28"/>
          <w:szCs w:val="28"/>
          <w:lang w:val="en-US"/>
        </w:rPr>
        <w:t>charge</w:t>
      </w:r>
      <w:r w:rsidRPr="006B7F06">
        <w:rPr>
          <w:i/>
          <w:sz w:val="28"/>
          <w:szCs w:val="28"/>
        </w:rPr>
        <w:t xml:space="preserve"> </w:t>
      </w:r>
      <w:r>
        <w:rPr>
          <w:i/>
          <w:sz w:val="28"/>
          <w:szCs w:val="28"/>
          <w:lang w:val="en-US"/>
        </w:rPr>
        <w:t>on</w:t>
      </w:r>
      <w:r w:rsidRPr="006B7F06">
        <w:rPr>
          <w:i/>
          <w:sz w:val="28"/>
          <w:szCs w:val="28"/>
        </w:rPr>
        <w:t xml:space="preserve"> </w:t>
      </w:r>
      <w:r>
        <w:rPr>
          <w:i/>
          <w:sz w:val="28"/>
          <w:szCs w:val="28"/>
          <w:lang w:val="en-US"/>
        </w:rPr>
        <w:t>personal</w:t>
      </w:r>
      <w:r w:rsidRPr="006B7F06">
        <w:rPr>
          <w:i/>
          <w:sz w:val="28"/>
          <w:szCs w:val="28"/>
        </w:rPr>
        <w:t xml:space="preserve"> </w:t>
      </w:r>
      <w:r>
        <w:rPr>
          <w:i/>
          <w:sz w:val="28"/>
          <w:szCs w:val="28"/>
          <w:lang w:val="en-US"/>
        </w:rPr>
        <w:t>income</w:t>
      </w:r>
      <w:r>
        <w:rPr>
          <w:b/>
          <w:sz w:val="28"/>
          <w:szCs w:val="28"/>
        </w:rPr>
        <w:t xml:space="preserve"> </w:t>
      </w:r>
      <w:r w:rsidR="000C4C40" w:rsidRPr="00366E07">
        <w:rPr>
          <w:sz w:val="28"/>
          <w:szCs w:val="28"/>
        </w:rPr>
        <w:t>–</w:t>
      </w:r>
      <w:r w:rsidR="000C4C40">
        <w:rPr>
          <w:b/>
          <w:sz w:val="28"/>
          <w:szCs w:val="28"/>
        </w:rPr>
        <w:t xml:space="preserve"> 10</w:t>
      </w:r>
      <w:r w:rsidRPr="00C73A4B">
        <w:rPr>
          <w:b/>
          <w:sz w:val="28"/>
          <w:szCs w:val="28"/>
        </w:rPr>
        <w:t>.</w:t>
      </w:r>
      <w:r w:rsidR="000C4C40">
        <w:rPr>
          <w:b/>
          <w:sz w:val="28"/>
          <w:szCs w:val="28"/>
        </w:rPr>
        <w:t>2</w:t>
      </w:r>
      <w:r>
        <w:rPr>
          <w:b/>
          <w:sz w:val="28"/>
          <w:szCs w:val="28"/>
          <w:lang w:val="en-US"/>
        </w:rPr>
        <w:t>%</w:t>
      </w:r>
      <w:r w:rsidR="000C4C40">
        <w:rPr>
          <w:sz w:val="28"/>
          <w:szCs w:val="28"/>
        </w:rPr>
        <w:t>.</w:t>
      </w:r>
    </w:p>
    <w:p w:rsidR="000C4C40" w:rsidRPr="00034D9A" w:rsidRDefault="00C73A4B" w:rsidP="00C73A4B">
      <w:pPr>
        <w:jc w:val="both"/>
        <w:rPr>
          <w:sz w:val="28"/>
          <w:szCs w:val="28"/>
        </w:rPr>
      </w:pPr>
      <w:r>
        <w:rPr>
          <w:sz w:val="28"/>
          <w:szCs w:val="28"/>
          <w:lang w:val="en-US"/>
        </w:rPr>
        <w:t>The</w:t>
      </w:r>
      <w:r w:rsidRPr="00C73A4B">
        <w:rPr>
          <w:sz w:val="28"/>
          <w:szCs w:val="28"/>
        </w:rPr>
        <w:t xml:space="preserve"> </w:t>
      </w:r>
      <w:r>
        <w:rPr>
          <w:sz w:val="28"/>
          <w:szCs w:val="28"/>
          <w:lang w:val="en-US"/>
        </w:rPr>
        <w:t>highest</w:t>
      </w:r>
      <w:r w:rsidRPr="00C73A4B">
        <w:rPr>
          <w:sz w:val="28"/>
          <w:szCs w:val="28"/>
        </w:rPr>
        <w:t xml:space="preserve"> </w:t>
      </w:r>
      <w:r>
        <w:rPr>
          <w:sz w:val="28"/>
          <w:szCs w:val="28"/>
          <w:lang w:val="en-US"/>
        </w:rPr>
        <w:t>share</w:t>
      </w:r>
      <w:r w:rsidRPr="00C73A4B">
        <w:rPr>
          <w:sz w:val="28"/>
          <w:szCs w:val="28"/>
        </w:rPr>
        <w:t xml:space="preserve"> </w:t>
      </w:r>
      <w:r>
        <w:rPr>
          <w:sz w:val="28"/>
          <w:szCs w:val="28"/>
          <w:lang w:val="en-US"/>
        </w:rPr>
        <w:t>in</w:t>
      </w:r>
      <w:r w:rsidRPr="00C73A4B">
        <w:rPr>
          <w:sz w:val="28"/>
          <w:szCs w:val="28"/>
        </w:rPr>
        <w:t xml:space="preserve"> </w:t>
      </w:r>
      <w:r>
        <w:rPr>
          <w:sz w:val="28"/>
          <w:szCs w:val="28"/>
          <w:lang w:val="en-US"/>
        </w:rPr>
        <w:t>the</w:t>
      </w:r>
      <w:r w:rsidRPr="00C73A4B">
        <w:rPr>
          <w:sz w:val="28"/>
          <w:szCs w:val="28"/>
        </w:rPr>
        <w:t xml:space="preserve"> </w:t>
      </w:r>
      <w:r w:rsidRPr="00C73A4B">
        <w:rPr>
          <w:b/>
          <w:sz w:val="28"/>
          <w:szCs w:val="28"/>
          <w:lang w:val="en-US"/>
        </w:rPr>
        <w:t>non</w:t>
      </w:r>
      <w:r w:rsidRPr="00C73A4B">
        <w:rPr>
          <w:b/>
          <w:sz w:val="28"/>
          <w:szCs w:val="28"/>
        </w:rPr>
        <w:t>-</w:t>
      </w:r>
      <w:r w:rsidRPr="00C73A4B">
        <w:rPr>
          <w:b/>
          <w:sz w:val="28"/>
          <w:szCs w:val="28"/>
          <w:lang w:val="en-US"/>
        </w:rPr>
        <w:t>tax</w:t>
      </w:r>
      <w:r w:rsidRPr="00C73A4B">
        <w:rPr>
          <w:b/>
          <w:sz w:val="28"/>
          <w:szCs w:val="28"/>
        </w:rPr>
        <w:t xml:space="preserve"> </w:t>
      </w:r>
      <w:r w:rsidRPr="00C73A4B">
        <w:rPr>
          <w:b/>
          <w:sz w:val="28"/>
          <w:szCs w:val="28"/>
          <w:lang w:val="en-US"/>
        </w:rPr>
        <w:t>revenues</w:t>
      </w:r>
      <w:r w:rsidRPr="00C73A4B">
        <w:rPr>
          <w:sz w:val="28"/>
          <w:szCs w:val="28"/>
        </w:rPr>
        <w:t xml:space="preserve"> </w:t>
      </w:r>
      <w:r>
        <w:rPr>
          <w:sz w:val="28"/>
          <w:szCs w:val="28"/>
          <w:lang w:val="en-US"/>
        </w:rPr>
        <w:t>belonged</w:t>
      </w:r>
      <w:r w:rsidRPr="00C73A4B">
        <w:rPr>
          <w:sz w:val="28"/>
          <w:szCs w:val="28"/>
        </w:rPr>
        <w:t xml:space="preserve"> </w:t>
      </w:r>
      <w:r>
        <w:rPr>
          <w:sz w:val="28"/>
          <w:szCs w:val="28"/>
          <w:lang w:val="en-US"/>
        </w:rPr>
        <w:t>to</w:t>
      </w:r>
      <w:r w:rsidRPr="00C73A4B">
        <w:rPr>
          <w:sz w:val="28"/>
          <w:szCs w:val="28"/>
        </w:rPr>
        <w:t xml:space="preserve"> </w:t>
      </w:r>
      <w:r>
        <w:rPr>
          <w:sz w:val="28"/>
          <w:szCs w:val="28"/>
          <w:lang w:val="en-US"/>
        </w:rPr>
        <w:t>the</w:t>
      </w:r>
      <w:r w:rsidRPr="00C73A4B">
        <w:rPr>
          <w:sz w:val="28"/>
          <w:szCs w:val="28"/>
        </w:rPr>
        <w:t xml:space="preserve"> </w:t>
      </w:r>
      <w:r w:rsidRPr="00C73A4B">
        <w:rPr>
          <w:i/>
          <w:sz w:val="28"/>
          <w:szCs w:val="28"/>
          <w:lang w:val="en-US"/>
        </w:rPr>
        <w:t>own</w:t>
      </w:r>
      <w:r w:rsidRPr="00C73A4B">
        <w:rPr>
          <w:i/>
          <w:sz w:val="28"/>
          <w:szCs w:val="28"/>
        </w:rPr>
        <w:t xml:space="preserve"> </w:t>
      </w:r>
      <w:r w:rsidRPr="00C73A4B">
        <w:rPr>
          <w:i/>
          <w:sz w:val="28"/>
          <w:szCs w:val="28"/>
          <w:lang w:val="en-US"/>
        </w:rPr>
        <w:t>revenues</w:t>
      </w:r>
      <w:r w:rsidRPr="00C73A4B">
        <w:rPr>
          <w:i/>
          <w:sz w:val="28"/>
          <w:szCs w:val="28"/>
        </w:rPr>
        <w:t xml:space="preserve"> </w:t>
      </w:r>
      <w:r w:rsidRPr="00C73A4B">
        <w:rPr>
          <w:i/>
          <w:sz w:val="28"/>
          <w:szCs w:val="28"/>
          <w:lang w:val="en-US"/>
        </w:rPr>
        <w:t>of</w:t>
      </w:r>
      <w:r w:rsidRPr="00C73A4B">
        <w:rPr>
          <w:i/>
          <w:sz w:val="28"/>
          <w:szCs w:val="28"/>
        </w:rPr>
        <w:t xml:space="preserve"> </w:t>
      </w:r>
      <w:r w:rsidRPr="00C73A4B">
        <w:rPr>
          <w:i/>
          <w:sz w:val="28"/>
          <w:szCs w:val="28"/>
          <w:lang w:val="en-US"/>
        </w:rPr>
        <w:t>public</w:t>
      </w:r>
      <w:r w:rsidRPr="00C73A4B">
        <w:rPr>
          <w:i/>
          <w:sz w:val="28"/>
          <w:szCs w:val="28"/>
        </w:rPr>
        <w:t xml:space="preserve"> </w:t>
      </w:r>
      <w:r w:rsidRPr="00C73A4B">
        <w:rPr>
          <w:i/>
          <w:sz w:val="28"/>
          <w:szCs w:val="28"/>
          <w:lang w:val="en-US"/>
        </w:rPr>
        <w:t>organizations</w:t>
      </w:r>
      <w:r w:rsidRPr="00C73A4B">
        <w:rPr>
          <w:sz w:val="28"/>
          <w:szCs w:val="28"/>
        </w:rPr>
        <w:t xml:space="preserve"> (</w:t>
      </w:r>
      <w:r w:rsidRPr="00C73A4B">
        <w:rPr>
          <w:b/>
          <w:sz w:val="28"/>
          <w:szCs w:val="28"/>
        </w:rPr>
        <w:t>4.4%</w:t>
      </w:r>
      <w:r w:rsidRPr="00C73A4B">
        <w:rPr>
          <w:sz w:val="28"/>
          <w:szCs w:val="28"/>
        </w:rPr>
        <w:t>)</w:t>
      </w:r>
      <w:r w:rsidR="000C4C40">
        <w:rPr>
          <w:sz w:val="28"/>
          <w:szCs w:val="28"/>
        </w:rPr>
        <w:t>.</w:t>
      </w:r>
    </w:p>
    <w:p w:rsidR="000C4C40" w:rsidRPr="005F46FB" w:rsidRDefault="00C73A4B" w:rsidP="00C73A4B">
      <w:pPr>
        <w:jc w:val="both"/>
        <w:rPr>
          <w:sz w:val="28"/>
          <w:szCs w:val="28"/>
        </w:rPr>
      </w:pPr>
      <w:r>
        <w:rPr>
          <w:sz w:val="28"/>
          <w:lang w:val="en-US"/>
        </w:rPr>
        <w:t>The</w:t>
      </w:r>
      <w:r w:rsidRPr="00C73A4B">
        <w:rPr>
          <w:sz w:val="28"/>
        </w:rPr>
        <w:t xml:space="preserve"> </w:t>
      </w:r>
      <w:r>
        <w:rPr>
          <w:sz w:val="28"/>
          <w:lang w:val="en-US"/>
        </w:rPr>
        <w:t>revenues</w:t>
      </w:r>
      <w:r w:rsidRPr="00C73A4B">
        <w:rPr>
          <w:sz w:val="28"/>
        </w:rPr>
        <w:t xml:space="preserve"> </w:t>
      </w:r>
      <w:r>
        <w:rPr>
          <w:sz w:val="28"/>
          <w:lang w:val="en-US"/>
        </w:rPr>
        <w:t>of</w:t>
      </w:r>
      <w:r w:rsidRPr="00C73A4B">
        <w:rPr>
          <w:sz w:val="28"/>
        </w:rPr>
        <w:t xml:space="preserve"> </w:t>
      </w:r>
      <w:r>
        <w:rPr>
          <w:sz w:val="28"/>
          <w:lang w:val="en-US"/>
        </w:rPr>
        <w:t>the</w:t>
      </w:r>
      <w:r w:rsidRPr="00C73A4B">
        <w:rPr>
          <w:sz w:val="28"/>
        </w:rPr>
        <w:t xml:space="preserve"> </w:t>
      </w:r>
      <w:r>
        <w:rPr>
          <w:sz w:val="28"/>
          <w:lang w:val="en-US"/>
        </w:rPr>
        <w:t>general</w:t>
      </w:r>
      <w:r w:rsidRPr="00C73A4B">
        <w:rPr>
          <w:sz w:val="28"/>
        </w:rPr>
        <w:t xml:space="preserve"> </w:t>
      </w:r>
      <w:r>
        <w:rPr>
          <w:sz w:val="28"/>
          <w:lang w:val="en-US"/>
        </w:rPr>
        <w:t>fund</w:t>
      </w:r>
      <w:r w:rsidRPr="00C73A4B">
        <w:rPr>
          <w:sz w:val="28"/>
        </w:rPr>
        <w:t xml:space="preserve"> </w:t>
      </w:r>
      <w:r>
        <w:rPr>
          <w:sz w:val="28"/>
          <w:lang w:val="en-US"/>
        </w:rPr>
        <w:t>of</w:t>
      </w:r>
      <w:r w:rsidRPr="00C73A4B">
        <w:rPr>
          <w:sz w:val="28"/>
        </w:rPr>
        <w:t xml:space="preserve"> </w:t>
      </w:r>
      <w:r>
        <w:rPr>
          <w:sz w:val="28"/>
          <w:lang w:val="en-US"/>
        </w:rPr>
        <w:t>the</w:t>
      </w:r>
      <w:r w:rsidRPr="00C73A4B">
        <w:rPr>
          <w:sz w:val="28"/>
        </w:rPr>
        <w:t xml:space="preserve"> </w:t>
      </w:r>
      <w:r>
        <w:rPr>
          <w:sz w:val="28"/>
          <w:lang w:val="en-US"/>
        </w:rPr>
        <w:t>state</w:t>
      </w:r>
      <w:r w:rsidRPr="00C73A4B">
        <w:rPr>
          <w:sz w:val="28"/>
        </w:rPr>
        <w:t xml:space="preserve"> </w:t>
      </w:r>
      <w:r>
        <w:rPr>
          <w:sz w:val="28"/>
          <w:lang w:val="en-US"/>
        </w:rPr>
        <w:t>budget</w:t>
      </w:r>
      <w:r w:rsidRPr="00C73A4B">
        <w:rPr>
          <w:sz w:val="28"/>
        </w:rPr>
        <w:t xml:space="preserve"> </w:t>
      </w:r>
      <w:r>
        <w:rPr>
          <w:sz w:val="28"/>
          <w:lang w:val="en-US"/>
        </w:rPr>
        <w:t>in</w:t>
      </w:r>
      <w:r w:rsidRPr="00C73A4B">
        <w:rPr>
          <w:sz w:val="28"/>
        </w:rPr>
        <w:t xml:space="preserve"> </w:t>
      </w:r>
      <w:r>
        <w:rPr>
          <w:sz w:val="28"/>
          <w:lang w:val="en-US"/>
        </w:rPr>
        <w:t>Q</w:t>
      </w:r>
      <w:r w:rsidRPr="00C73A4B">
        <w:rPr>
          <w:sz w:val="28"/>
        </w:rPr>
        <w:t xml:space="preserve">1 </w:t>
      </w:r>
      <w:r>
        <w:rPr>
          <w:sz w:val="28"/>
          <w:lang w:val="en-US"/>
        </w:rPr>
        <w:t>of</w:t>
      </w:r>
      <w:r w:rsidRPr="00C73A4B">
        <w:rPr>
          <w:sz w:val="28"/>
        </w:rPr>
        <w:t xml:space="preserve"> 2018 </w:t>
      </w:r>
      <w:r>
        <w:rPr>
          <w:sz w:val="28"/>
          <w:lang w:val="en-US"/>
        </w:rPr>
        <w:t>were</w:t>
      </w:r>
      <w:r w:rsidRPr="00C73A4B">
        <w:rPr>
          <w:sz w:val="28"/>
        </w:rPr>
        <w:t xml:space="preserve"> </w:t>
      </w:r>
      <w:r>
        <w:rPr>
          <w:sz w:val="28"/>
          <w:lang w:val="en-US"/>
        </w:rPr>
        <w:t>equal</w:t>
      </w:r>
      <w:r w:rsidRPr="00C73A4B">
        <w:rPr>
          <w:sz w:val="28"/>
        </w:rPr>
        <w:t xml:space="preserve"> </w:t>
      </w:r>
      <w:r>
        <w:rPr>
          <w:sz w:val="28"/>
          <w:lang w:val="en-US"/>
        </w:rPr>
        <w:t>to</w:t>
      </w:r>
      <w:r w:rsidRPr="00C73A4B">
        <w:rPr>
          <w:sz w:val="28"/>
        </w:rPr>
        <w:t xml:space="preserve"> </w:t>
      </w:r>
      <w:r>
        <w:rPr>
          <w:sz w:val="28"/>
          <w:lang w:val="en-US"/>
        </w:rPr>
        <w:t>UAH</w:t>
      </w:r>
      <w:r w:rsidRPr="00C73A4B">
        <w:rPr>
          <w:sz w:val="28"/>
        </w:rPr>
        <w:t xml:space="preserve"> </w:t>
      </w:r>
      <w:r>
        <w:rPr>
          <w:b/>
          <w:sz w:val="28"/>
          <w:szCs w:val="28"/>
        </w:rPr>
        <w:t>175.</w:t>
      </w:r>
      <w:r w:rsidR="000C4C40" w:rsidRPr="005F46FB">
        <w:rPr>
          <w:b/>
          <w:sz w:val="28"/>
          <w:szCs w:val="28"/>
        </w:rPr>
        <w:t>5</w:t>
      </w:r>
      <w:r>
        <w:rPr>
          <w:sz w:val="28"/>
          <w:szCs w:val="28"/>
        </w:rPr>
        <w:t> </w:t>
      </w:r>
      <w:r>
        <w:rPr>
          <w:sz w:val="28"/>
          <w:szCs w:val="28"/>
          <w:lang w:val="en-US"/>
        </w:rPr>
        <w:t>bn</w:t>
      </w:r>
      <w:r w:rsidR="000C4C40" w:rsidRPr="005F46FB">
        <w:rPr>
          <w:sz w:val="28"/>
        </w:rPr>
        <w:t>,</w:t>
      </w:r>
      <w:r w:rsidR="000C4C40" w:rsidRPr="005F46FB">
        <w:rPr>
          <w:sz w:val="28"/>
          <w:szCs w:val="28"/>
        </w:rPr>
        <w:t xml:space="preserve"> </w:t>
      </w:r>
      <w:r>
        <w:rPr>
          <w:sz w:val="28"/>
          <w:szCs w:val="28"/>
          <w:lang w:val="en-US"/>
        </w:rPr>
        <w:t xml:space="preserve">which is UAH </w:t>
      </w:r>
      <w:r w:rsidR="000C4C40" w:rsidRPr="005F46FB">
        <w:rPr>
          <w:b/>
          <w:sz w:val="28"/>
          <w:szCs w:val="28"/>
        </w:rPr>
        <w:t xml:space="preserve">13 </w:t>
      </w:r>
      <w:r>
        <w:rPr>
          <w:sz w:val="28"/>
          <w:szCs w:val="28"/>
          <w:lang w:val="en-US"/>
        </w:rPr>
        <w:t>bn (</w:t>
      </w:r>
      <w:r w:rsidR="000C4C40" w:rsidRPr="005F46FB">
        <w:rPr>
          <w:b/>
          <w:sz w:val="28"/>
          <w:szCs w:val="28"/>
        </w:rPr>
        <w:t>8</w:t>
      </w:r>
      <w:r>
        <w:rPr>
          <w:b/>
          <w:sz w:val="28"/>
          <w:szCs w:val="28"/>
          <w:lang w:val="en-US"/>
        </w:rPr>
        <w:t>%</w:t>
      </w:r>
      <w:r>
        <w:rPr>
          <w:sz w:val="28"/>
          <w:szCs w:val="28"/>
          <w:lang w:val="en-US"/>
        </w:rPr>
        <w:t xml:space="preserve">) higher compared to Q1 of </w:t>
      </w:r>
      <w:r w:rsidR="000C4C40" w:rsidRPr="005F46FB">
        <w:rPr>
          <w:sz w:val="28"/>
          <w:szCs w:val="28"/>
        </w:rPr>
        <w:t>201</w:t>
      </w:r>
      <w:r w:rsidR="000C4C40" w:rsidRPr="00C73A4B">
        <w:rPr>
          <w:sz w:val="28"/>
          <w:szCs w:val="28"/>
        </w:rPr>
        <w:t>7</w:t>
      </w:r>
      <w:r w:rsidR="000C4C40" w:rsidRPr="005F46FB">
        <w:rPr>
          <w:sz w:val="28"/>
          <w:szCs w:val="28"/>
        </w:rPr>
        <w:t>.</w:t>
      </w:r>
    </w:p>
    <w:p w:rsidR="000C4C40" w:rsidRPr="005F46FB" w:rsidRDefault="00C73A4B" w:rsidP="00C73A4B">
      <w:pPr>
        <w:pStyle w:val="2"/>
        <w:ind w:firstLine="0"/>
        <w:rPr>
          <w:szCs w:val="26"/>
        </w:rPr>
      </w:pPr>
      <w:r>
        <w:rPr>
          <w:szCs w:val="26"/>
          <w:lang w:val="en-US"/>
        </w:rPr>
        <w:t>The highest revenues of the general fund of the state budget in Q1 of 2018 were as follows</w:t>
      </w:r>
      <w:r w:rsidR="000C4C40" w:rsidRPr="005F46FB">
        <w:rPr>
          <w:szCs w:val="26"/>
        </w:rPr>
        <w:t>:</w:t>
      </w:r>
    </w:p>
    <w:p w:rsidR="000C4C40" w:rsidRDefault="000C4C40" w:rsidP="000C4C40">
      <w:pPr>
        <w:ind w:firstLine="567"/>
        <w:jc w:val="both"/>
        <w:rPr>
          <w:sz w:val="28"/>
          <w:szCs w:val="26"/>
        </w:rPr>
      </w:pPr>
      <w:r w:rsidRPr="005F46FB">
        <w:rPr>
          <w:sz w:val="28"/>
          <w:szCs w:val="26"/>
        </w:rPr>
        <w:lastRenderedPageBreak/>
        <w:t xml:space="preserve">- </w:t>
      </w:r>
      <w:r w:rsidR="00C73A4B">
        <w:rPr>
          <w:b/>
          <w:sz w:val="28"/>
          <w:szCs w:val="26"/>
          <w:lang w:val="en-US"/>
        </w:rPr>
        <w:t>VAT</w:t>
      </w:r>
      <w:r w:rsidR="00C73A4B" w:rsidRPr="00C73A4B">
        <w:rPr>
          <w:b/>
          <w:sz w:val="28"/>
          <w:szCs w:val="26"/>
        </w:rPr>
        <w:t xml:space="preserve"> </w:t>
      </w:r>
      <w:r w:rsidR="00C73A4B">
        <w:rPr>
          <w:b/>
          <w:sz w:val="28"/>
          <w:szCs w:val="26"/>
          <w:lang w:val="en-US"/>
        </w:rPr>
        <w:t>on</w:t>
      </w:r>
      <w:r w:rsidR="00C73A4B" w:rsidRPr="00C73A4B">
        <w:rPr>
          <w:b/>
          <w:sz w:val="28"/>
          <w:szCs w:val="26"/>
        </w:rPr>
        <w:t xml:space="preserve"> </w:t>
      </w:r>
      <w:r w:rsidR="00C73A4B">
        <w:rPr>
          <w:b/>
          <w:sz w:val="28"/>
          <w:szCs w:val="26"/>
          <w:lang w:val="en-US"/>
        </w:rPr>
        <w:t>goods</w:t>
      </w:r>
      <w:r w:rsidR="00C73A4B" w:rsidRPr="00C73A4B">
        <w:rPr>
          <w:b/>
          <w:sz w:val="28"/>
          <w:szCs w:val="26"/>
        </w:rPr>
        <w:t xml:space="preserve"> </w:t>
      </w:r>
      <w:r w:rsidR="00C73A4B">
        <w:rPr>
          <w:b/>
          <w:sz w:val="28"/>
          <w:szCs w:val="26"/>
          <w:lang w:val="en-US"/>
        </w:rPr>
        <w:t>imported</w:t>
      </w:r>
      <w:r w:rsidR="00C73A4B" w:rsidRPr="00C73A4B">
        <w:rPr>
          <w:b/>
          <w:sz w:val="28"/>
          <w:szCs w:val="26"/>
        </w:rPr>
        <w:t xml:space="preserve"> </w:t>
      </w:r>
      <w:r w:rsidR="00C73A4B">
        <w:rPr>
          <w:b/>
          <w:sz w:val="28"/>
          <w:szCs w:val="26"/>
          <w:lang w:val="en-US"/>
        </w:rPr>
        <w:t>into</w:t>
      </w:r>
      <w:r w:rsidR="00C73A4B" w:rsidRPr="00C73A4B">
        <w:rPr>
          <w:b/>
          <w:sz w:val="28"/>
          <w:szCs w:val="26"/>
        </w:rPr>
        <w:t xml:space="preserve"> </w:t>
      </w:r>
      <w:r w:rsidR="00C73A4B">
        <w:rPr>
          <w:b/>
          <w:sz w:val="28"/>
          <w:szCs w:val="26"/>
          <w:lang w:val="en-US"/>
        </w:rPr>
        <w:t>Ukraine</w:t>
      </w:r>
      <w:r w:rsidRPr="005F46FB">
        <w:rPr>
          <w:b/>
          <w:sz w:val="28"/>
          <w:szCs w:val="26"/>
        </w:rPr>
        <w:t> </w:t>
      </w:r>
      <w:r w:rsidRPr="005F46FB">
        <w:rPr>
          <w:sz w:val="28"/>
          <w:szCs w:val="26"/>
        </w:rPr>
        <w:t xml:space="preserve">– </w:t>
      </w:r>
      <w:r w:rsidR="00C73A4B">
        <w:rPr>
          <w:sz w:val="28"/>
          <w:szCs w:val="26"/>
          <w:lang w:val="en-US"/>
        </w:rPr>
        <w:t>UAH</w:t>
      </w:r>
      <w:r w:rsidR="00C73A4B" w:rsidRPr="00C73A4B">
        <w:rPr>
          <w:sz w:val="28"/>
          <w:szCs w:val="26"/>
        </w:rPr>
        <w:t xml:space="preserve"> </w:t>
      </w:r>
      <w:r w:rsidRPr="005F46FB">
        <w:rPr>
          <w:b/>
          <w:sz w:val="28"/>
          <w:szCs w:val="26"/>
        </w:rPr>
        <w:t>65</w:t>
      </w:r>
      <w:r w:rsidR="00C73A4B" w:rsidRPr="00C73A4B">
        <w:rPr>
          <w:b/>
          <w:sz w:val="28"/>
          <w:szCs w:val="26"/>
        </w:rPr>
        <w:t>.</w:t>
      </w:r>
      <w:r w:rsidRPr="005F46FB">
        <w:rPr>
          <w:b/>
          <w:sz w:val="28"/>
          <w:szCs w:val="26"/>
        </w:rPr>
        <w:t>4 </w:t>
      </w:r>
      <w:r w:rsidR="00C73A4B">
        <w:rPr>
          <w:sz w:val="28"/>
          <w:szCs w:val="26"/>
          <w:lang w:val="en-US"/>
        </w:rPr>
        <w:t>bn</w:t>
      </w:r>
      <w:r w:rsidR="00C73A4B" w:rsidRPr="00C73A4B">
        <w:rPr>
          <w:sz w:val="28"/>
          <w:szCs w:val="26"/>
        </w:rPr>
        <w:t xml:space="preserve">, </w:t>
      </w:r>
      <w:r w:rsidR="00C73A4B">
        <w:rPr>
          <w:sz w:val="28"/>
          <w:szCs w:val="26"/>
          <w:lang w:val="en-US"/>
        </w:rPr>
        <w:t>which</w:t>
      </w:r>
      <w:r w:rsidR="00C73A4B" w:rsidRPr="00C73A4B">
        <w:rPr>
          <w:sz w:val="28"/>
          <w:szCs w:val="26"/>
        </w:rPr>
        <w:t xml:space="preserve"> </w:t>
      </w:r>
      <w:r w:rsidR="00C73A4B">
        <w:rPr>
          <w:sz w:val="28"/>
          <w:szCs w:val="26"/>
          <w:lang w:val="en-US"/>
        </w:rPr>
        <w:t>is</w:t>
      </w:r>
      <w:r w:rsidR="00C73A4B" w:rsidRPr="00C73A4B">
        <w:rPr>
          <w:sz w:val="28"/>
          <w:szCs w:val="26"/>
        </w:rPr>
        <w:t xml:space="preserve"> </w:t>
      </w:r>
      <w:r w:rsidR="00C73A4B">
        <w:rPr>
          <w:sz w:val="28"/>
          <w:szCs w:val="26"/>
          <w:lang w:val="en-US"/>
        </w:rPr>
        <w:t>UAH</w:t>
      </w:r>
      <w:r w:rsidR="00C73A4B" w:rsidRPr="00C73A4B">
        <w:rPr>
          <w:sz w:val="28"/>
          <w:szCs w:val="26"/>
        </w:rPr>
        <w:t xml:space="preserve"> </w:t>
      </w:r>
      <w:r w:rsidRPr="005F46FB">
        <w:rPr>
          <w:b/>
          <w:sz w:val="28"/>
          <w:szCs w:val="26"/>
        </w:rPr>
        <w:t>9</w:t>
      </w:r>
      <w:r w:rsidR="00C73A4B" w:rsidRPr="00C73A4B">
        <w:rPr>
          <w:b/>
          <w:sz w:val="28"/>
          <w:szCs w:val="26"/>
        </w:rPr>
        <w:t>.</w:t>
      </w:r>
      <w:r w:rsidRPr="005F46FB">
        <w:rPr>
          <w:b/>
          <w:sz w:val="28"/>
          <w:szCs w:val="26"/>
        </w:rPr>
        <w:t>1</w:t>
      </w:r>
      <w:r w:rsidRPr="005F46FB">
        <w:rPr>
          <w:sz w:val="28"/>
          <w:szCs w:val="26"/>
        </w:rPr>
        <w:t> </w:t>
      </w:r>
      <w:r w:rsidR="00C73A4B">
        <w:rPr>
          <w:sz w:val="28"/>
          <w:szCs w:val="26"/>
          <w:lang w:val="en-US"/>
        </w:rPr>
        <w:t>bn</w:t>
      </w:r>
      <w:r w:rsidR="00C73A4B" w:rsidRPr="00C73A4B">
        <w:rPr>
          <w:sz w:val="28"/>
          <w:szCs w:val="26"/>
        </w:rPr>
        <w:t xml:space="preserve"> (</w:t>
      </w:r>
      <w:r w:rsidRPr="005F46FB">
        <w:rPr>
          <w:b/>
          <w:sz w:val="28"/>
          <w:szCs w:val="26"/>
        </w:rPr>
        <w:t>16</w:t>
      </w:r>
      <w:r w:rsidR="00C73A4B" w:rsidRPr="00C73A4B">
        <w:rPr>
          <w:b/>
          <w:sz w:val="28"/>
          <w:szCs w:val="26"/>
        </w:rPr>
        <w:t>.</w:t>
      </w:r>
      <w:r w:rsidRPr="005F46FB">
        <w:rPr>
          <w:b/>
          <w:sz w:val="28"/>
          <w:szCs w:val="26"/>
        </w:rPr>
        <w:t>2</w:t>
      </w:r>
      <w:r w:rsidR="00C73A4B" w:rsidRPr="00C73A4B">
        <w:rPr>
          <w:b/>
          <w:sz w:val="28"/>
          <w:szCs w:val="26"/>
        </w:rPr>
        <w:t>%</w:t>
      </w:r>
      <w:r w:rsidR="00C73A4B" w:rsidRPr="00C73A4B">
        <w:rPr>
          <w:sz w:val="28"/>
          <w:szCs w:val="26"/>
        </w:rPr>
        <w:t>)</w:t>
      </w:r>
      <w:r w:rsidR="00C73A4B">
        <w:rPr>
          <w:sz w:val="28"/>
          <w:szCs w:val="26"/>
          <w:lang w:val="en-US"/>
        </w:rPr>
        <w:t xml:space="preserve"> higher compared to Q1 of </w:t>
      </w:r>
      <w:r w:rsidRPr="005F46FB">
        <w:rPr>
          <w:sz w:val="28"/>
          <w:szCs w:val="28"/>
        </w:rPr>
        <w:t>2017</w:t>
      </w:r>
      <w:r w:rsidRPr="005F46FB">
        <w:rPr>
          <w:sz w:val="28"/>
          <w:szCs w:val="26"/>
        </w:rPr>
        <w:t xml:space="preserve">; </w:t>
      </w:r>
    </w:p>
    <w:p w:rsidR="000C4C40" w:rsidRPr="005F46FB" w:rsidRDefault="000C4C40" w:rsidP="000C4C40">
      <w:pPr>
        <w:ind w:firstLine="567"/>
        <w:jc w:val="both"/>
        <w:rPr>
          <w:sz w:val="28"/>
          <w:szCs w:val="26"/>
        </w:rPr>
      </w:pPr>
      <w:r w:rsidRPr="005F46FB">
        <w:rPr>
          <w:sz w:val="28"/>
          <w:szCs w:val="26"/>
        </w:rPr>
        <w:t xml:space="preserve">- </w:t>
      </w:r>
      <w:r w:rsidR="00C73A4B">
        <w:rPr>
          <w:b/>
          <w:sz w:val="28"/>
          <w:szCs w:val="26"/>
          <w:lang w:val="en-US"/>
        </w:rPr>
        <w:t>corporate</w:t>
      </w:r>
      <w:r w:rsidR="00C73A4B" w:rsidRPr="00C73A4B">
        <w:rPr>
          <w:b/>
          <w:sz w:val="28"/>
          <w:szCs w:val="26"/>
        </w:rPr>
        <w:t xml:space="preserve"> </w:t>
      </w:r>
      <w:r w:rsidR="00C73A4B">
        <w:rPr>
          <w:b/>
          <w:sz w:val="28"/>
          <w:szCs w:val="26"/>
          <w:lang w:val="en-US"/>
        </w:rPr>
        <w:t>profit</w:t>
      </w:r>
      <w:r w:rsidR="00C73A4B" w:rsidRPr="00C73A4B">
        <w:rPr>
          <w:b/>
          <w:sz w:val="28"/>
          <w:szCs w:val="26"/>
        </w:rPr>
        <w:t xml:space="preserve"> </w:t>
      </w:r>
      <w:r w:rsidR="00C73A4B">
        <w:rPr>
          <w:b/>
          <w:sz w:val="28"/>
          <w:szCs w:val="26"/>
          <w:lang w:val="en-US"/>
        </w:rPr>
        <w:t>tax</w:t>
      </w:r>
      <w:r w:rsidR="00C73A4B" w:rsidRPr="00C73A4B">
        <w:rPr>
          <w:b/>
          <w:sz w:val="28"/>
          <w:szCs w:val="26"/>
        </w:rPr>
        <w:t xml:space="preserve"> </w:t>
      </w:r>
      <w:r w:rsidRPr="005F46FB">
        <w:rPr>
          <w:b/>
          <w:sz w:val="28"/>
          <w:szCs w:val="26"/>
        </w:rPr>
        <w:t xml:space="preserve">– </w:t>
      </w:r>
      <w:r w:rsidR="00C73A4B" w:rsidRPr="00C73A4B">
        <w:rPr>
          <w:sz w:val="28"/>
          <w:szCs w:val="26"/>
          <w:lang w:val="en-US"/>
        </w:rPr>
        <w:t>UAH</w:t>
      </w:r>
      <w:r w:rsidR="00C73A4B" w:rsidRPr="00C73A4B">
        <w:rPr>
          <w:sz w:val="28"/>
          <w:szCs w:val="26"/>
        </w:rPr>
        <w:t xml:space="preserve"> </w:t>
      </w:r>
      <w:r w:rsidRPr="005F46FB">
        <w:rPr>
          <w:b/>
          <w:sz w:val="28"/>
          <w:szCs w:val="26"/>
        </w:rPr>
        <w:t>29</w:t>
      </w:r>
      <w:r w:rsidR="00C73A4B" w:rsidRPr="00C73A4B">
        <w:rPr>
          <w:b/>
          <w:sz w:val="28"/>
          <w:szCs w:val="26"/>
        </w:rPr>
        <w:t>.</w:t>
      </w:r>
      <w:r w:rsidRPr="005F46FB">
        <w:rPr>
          <w:b/>
          <w:sz w:val="28"/>
          <w:szCs w:val="26"/>
        </w:rPr>
        <w:t xml:space="preserve">2 </w:t>
      </w:r>
      <w:r w:rsidR="00C73A4B">
        <w:rPr>
          <w:sz w:val="28"/>
          <w:szCs w:val="26"/>
          <w:lang w:val="en-US"/>
        </w:rPr>
        <w:t>bn</w:t>
      </w:r>
      <w:r w:rsidR="00C73A4B" w:rsidRPr="00C73A4B">
        <w:rPr>
          <w:sz w:val="28"/>
          <w:szCs w:val="26"/>
        </w:rPr>
        <w:t xml:space="preserve">, </w:t>
      </w:r>
      <w:r w:rsidR="00C73A4B">
        <w:rPr>
          <w:sz w:val="28"/>
          <w:szCs w:val="26"/>
          <w:lang w:val="en-US"/>
        </w:rPr>
        <w:t>which</w:t>
      </w:r>
      <w:r w:rsidR="00C73A4B" w:rsidRPr="00C73A4B">
        <w:rPr>
          <w:sz w:val="28"/>
          <w:szCs w:val="26"/>
        </w:rPr>
        <w:t xml:space="preserve"> </w:t>
      </w:r>
      <w:r w:rsidR="00C73A4B">
        <w:rPr>
          <w:sz w:val="28"/>
          <w:szCs w:val="26"/>
          <w:lang w:val="en-US"/>
        </w:rPr>
        <w:t>is</w:t>
      </w:r>
      <w:r w:rsidR="00C73A4B" w:rsidRPr="00C73A4B">
        <w:rPr>
          <w:sz w:val="28"/>
          <w:szCs w:val="26"/>
        </w:rPr>
        <w:t xml:space="preserve"> </w:t>
      </w:r>
      <w:r w:rsidR="00C73A4B">
        <w:rPr>
          <w:sz w:val="28"/>
          <w:szCs w:val="26"/>
          <w:lang w:val="en-US"/>
        </w:rPr>
        <w:t>UAH</w:t>
      </w:r>
      <w:r w:rsidR="00C73A4B" w:rsidRPr="00C73A4B">
        <w:rPr>
          <w:sz w:val="28"/>
          <w:szCs w:val="26"/>
        </w:rPr>
        <w:t xml:space="preserve"> </w:t>
      </w:r>
      <w:r w:rsidRPr="00C73A4B">
        <w:rPr>
          <w:b/>
          <w:sz w:val="28"/>
          <w:szCs w:val="26"/>
        </w:rPr>
        <w:t>16</w:t>
      </w:r>
      <w:r w:rsidR="00C73A4B" w:rsidRPr="00C73A4B">
        <w:rPr>
          <w:b/>
          <w:sz w:val="28"/>
          <w:szCs w:val="26"/>
        </w:rPr>
        <w:t>.</w:t>
      </w:r>
      <w:r w:rsidRPr="00C73A4B">
        <w:rPr>
          <w:b/>
          <w:sz w:val="28"/>
          <w:szCs w:val="26"/>
        </w:rPr>
        <w:t>1</w:t>
      </w:r>
      <w:r w:rsidRPr="005F46FB">
        <w:rPr>
          <w:sz w:val="28"/>
          <w:szCs w:val="26"/>
        </w:rPr>
        <w:t> </w:t>
      </w:r>
      <w:r w:rsidR="00C73A4B">
        <w:rPr>
          <w:sz w:val="28"/>
          <w:szCs w:val="26"/>
          <w:lang w:val="en-US"/>
        </w:rPr>
        <w:t>bn</w:t>
      </w:r>
      <w:r w:rsidR="00C73A4B" w:rsidRPr="00C73A4B">
        <w:rPr>
          <w:sz w:val="28"/>
          <w:szCs w:val="26"/>
        </w:rPr>
        <w:t xml:space="preserve"> (</w:t>
      </w:r>
      <w:r w:rsidRPr="005F46FB">
        <w:rPr>
          <w:b/>
          <w:sz w:val="28"/>
          <w:szCs w:val="26"/>
        </w:rPr>
        <w:t>2</w:t>
      </w:r>
      <w:r w:rsidR="00C73A4B" w:rsidRPr="00C73A4B">
        <w:rPr>
          <w:b/>
          <w:sz w:val="28"/>
          <w:szCs w:val="26"/>
        </w:rPr>
        <w:t>.</w:t>
      </w:r>
      <w:r w:rsidRPr="005F46FB">
        <w:rPr>
          <w:b/>
          <w:sz w:val="28"/>
          <w:szCs w:val="26"/>
        </w:rPr>
        <w:t>2</w:t>
      </w:r>
      <w:r w:rsidR="00C73A4B">
        <w:rPr>
          <w:b/>
          <w:sz w:val="28"/>
          <w:szCs w:val="26"/>
          <w:lang w:val="en-US"/>
        </w:rPr>
        <w:t>fold</w:t>
      </w:r>
      <w:r w:rsidR="00C73A4B" w:rsidRPr="00C73A4B">
        <w:rPr>
          <w:sz w:val="28"/>
          <w:szCs w:val="26"/>
        </w:rPr>
        <w:t>)</w:t>
      </w:r>
      <w:r w:rsidRPr="005F46FB">
        <w:rPr>
          <w:sz w:val="28"/>
          <w:szCs w:val="26"/>
        </w:rPr>
        <w:t xml:space="preserve"> </w:t>
      </w:r>
      <w:r w:rsidR="00C73A4B">
        <w:rPr>
          <w:sz w:val="28"/>
          <w:szCs w:val="26"/>
          <w:lang w:val="en-US"/>
        </w:rPr>
        <w:t xml:space="preserve">higher compared in Q1 of </w:t>
      </w:r>
      <w:r w:rsidRPr="005F46FB">
        <w:rPr>
          <w:sz w:val="28"/>
          <w:szCs w:val="28"/>
        </w:rPr>
        <w:t>2017</w:t>
      </w:r>
      <w:r w:rsidRPr="005F46FB">
        <w:rPr>
          <w:sz w:val="28"/>
          <w:szCs w:val="26"/>
        </w:rPr>
        <w:t xml:space="preserve">; </w:t>
      </w:r>
    </w:p>
    <w:p w:rsidR="000C4C40" w:rsidRPr="005F46FB" w:rsidRDefault="000C4C40" w:rsidP="000C4C40">
      <w:pPr>
        <w:ind w:firstLine="567"/>
        <w:jc w:val="both"/>
        <w:rPr>
          <w:sz w:val="28"/>
          <w:szCs w:val="26"/>
        </w:rPr>
      </w:pPr>
      <w:r w:rsidRPr="005F46FB">
        <w:rPr>
          <w:sz w:val="28"/>
          <w:szCs w:val="26"/>
        </w:rPr>
        <w:t xml:space="preserve">- </w:t>
      </w:r>
      <w:r w:rsidR="00C73A4B">
        <w:rPr>
          <w:b/>
          <w:sz w:val="28"/>
          <w:szCs w:val="28"/>
          <w:lang w:val="en-US"/>
        </w:rPr>
        <w:t>personal income tax and charge on personal income</w:t>
      </w:r>
      <w:r w:rsidRPr="005F46FB">
        <w:rPr>
          <w:b/>
          <w:sz w:val="28"/>
          <w:szCs w:val="28"/>
        </w:rPr>
        <w:t xml:space="preserve"> </w:t>
      </w:r>
      <w:r w:rsidRPr="005F46FB">
        <w:rPr>
          <w:sz w:val="28"/>
          <w:szCs w:val="28"/>
        </w:rPr>
        <w:t>(</w:t>
      </w:r>
      <w:r w:rsidR="00C73A4B">
        <w:rPr>
          <w:sz w:val="28"/>
          <w:szCs w:val="28"/>
          <w:lang w:val="en-US"/>
        </w:rPr>
        <w:t>including the military charge and tax on personal income in the form of interest</w:t>
      </w:r>
      <w:r w:rsidRPr="005F46FB">
        <w:rPr>
          <w:sz w:val="28"/>
          <w:szCs w:val="28"/>
        </w:rPr>
        <w:t>)</w:t>
      </w:r>
      <w:r w:rsidRPr="005F46FB">
        <w:rPr>
          <w:b/>
          <w:sz w:val="28"/>
          <w:szCs w:val="28"/>
        </w:rPr>
        <w:t xml:space="preserve"> </w:t>
      </w:r>
      <w:r w:rsidRPr="005F46FB">
        <w:rPr>
          <w:sz w:val="28"/>
          <w:szCs w:val="26"/>
        </w:rPr>
        <w:t xml:space="preserve">– </w:t>
      </w:r>
      <w:r w:rsidR="00C73A4B">
        <w:rPr>
          <w:sz w:val="28"/>
          <w:szCs w:val="26"/>
          <w:lang w:val="en-US"/>
        </w:rPr>
        <w:t xml:space="preserve">UAH </w:t>
      </w:r>
      <w:r w:rsidRPr="005F46FB">
        <w:rPr>
          <w:b/>
          <w:sz w:val="28"/>
          <w:szCs w:val="26"/>
        </w:rPr>
        <w:t>19</w:t>
      </w:r>
      <w:r w:rsidR="00C73A4B">
        <w:rPr>
          <w:b/>
          <w:sz w:val="28"/>
          <w:szCs w:val="26"/>
          <w:lang w:val="en-US"/>
        </w:rPr>
        <w:t>.</w:t>
      </w:r>
      <w:r w:rsidRPr="005F46FB">
        <w:rPr>
          <w:b/>
          <w:sz w:val="28"/>
          <w:szCs w:val="26"/>
        </w:rPr>
        <w:t>7 </w:t>
      </w:r>
      <w:r w:rsidR="00C73A4B">
        <w:rPr>
          <w:sz w:val="28"/>
          <w:szCs w:val="26"/>
          <w:lang w:val="en-US"/>
        </w:rPr>
        <w:t>bn</w:t>
      </w:r>
      <w:r w:rsidRPr="005F46FB">
        <w:rPr>
          <w:sz w:val="28"/>
          <w:szCs w:val="26"/>
        </w:rPr>
        <w:t xml:space="preserve">, </w:t>
      </w:r>
      <w:r w:rsidR="00C73A4B">
        <w:rPr>
          <w:sz w:val="28"/>
          <w:szCs w:val="26"/>
          <w:lang w:val="en-US"/>
        </w:rPr>
        <w:t xml:space="preserve">which is UAH </w:t>
      </w:r>
      <w:r w:rsidRPr="005F46FB">
        <w:rPr>
          <w:b/>
          <w:sz w:val="28"/>
          <w:szCs w:val="26"/>
        </w:rPr>
        <w:t>3</w:t>
      </w:r>
      <w:r w:rsidR="00C73A4B">
        <w:rPr>
          <w:b/>
          <w:sz w:val="28"/>
          <w:szCs w:val="26"/>
          <w:lang w:val="en-US"/>
        </w:rPr>
        <w:t>.</w:t>
      </w:r>
      <w:r w:rsidRPr="005F46FB">
        <w:rPr>
          <w:b/>
          <w:sz w:val="28"/>
          <w:szCs w:val="26"/>
        </w:rPr>
        <w:t>7</w:t>
      </w:r>
      <w:r w:rsidRPr="005F46FB">
        <w:rPr>
          <w:sz w:val="28"/>
          <w:szCs w:val="26"/>
        </w:rPr>
        <w:t> </w:t>
      </w:r>
      <w:r w:rsidR="00C73A4B">
        <w:rPr>
          <w:sz w:val="28"/>
          <w:szCs w:val="26"/>
          <w:lang w:val="en-US"/>
        </w:rPr>
        <w:t>bn (</w:t>
      </w:r>
      <w:r w:rsidRPr="005F46FB">
        <w:rPr>
          <w:b/>
          <w:sz w:val="28"/>
          <w:szCs w:val="26"/>
        </w:rPr>
        <w:t>23</w:t>
      </w:r>
      <w:r w:rsidR="00C73A4B">
        <w:rPr>
          <w:b/>
          <w:sz w:val="28"/>
          <w:szCs w:val="26"/>
          <w:lang w:val="en-US"/>
        </w:rPr>
        <w:t>%</w:t>
      </w:r>
      <w:r w:rsidR="00C73A4B" w:rsidRPr="00C73A4B">
        <w:rPr>
          <w:sz w:val="28"/>
          <w:szCs w:val="26"/>
          <w:lang w:val="en-US"/>
        </w:rPr>
        <w:t>)</w:t>
      </w:r>
      <w:r w:rsidR="00C73A4B">
        <w:rPr>
          <w:sz w:val="28"/>
          <w:szCs w:val="26"/>
          <w:lang w:val="en-US"/>
        </w:rPr>
        <w:t xml:space="preserve"> higher compared in Q1 of </w:t>
      </w:r>
      <w:r w:rsidRPr="005F46FB">
        <w:rPr>
          <w:sz w:val="28"/>
          <w:szCs w:val="28"/>
        </w:rPr>
        <w:t>2017</w:t>
      </w:r>
      <w:r w:rsidRPr="005F46FB">
        <w:rPr>
          <w:sz w:val="28"/>
          <w:szCs w:val="26"/>
        </w:rPr>
        <w:t>;</w:t>
      </w:r>
    </w:p>
    <w:p w:rsidR="000C4C40" w:rsidRDefault="000C4C40" w:rsidP="000C4C40">
      <w:pPr>
        <w:ind w:firstLine="567"/>
        <w:contextualSpacing/>
        <w:jc w:val="both"/>
        <w:rPr>
          <w:rFonts w:eastAsia="Calibri"/>
          <w:sz w:val="28"/>
          <w:szCs w:val="28"/>
        </w:rPr>
      </w:pPr>
      <w:r w:rsidRPr="005F46FB">
        <w:rPr>
          <w:sz w:val="28"/>
          <w:szCs w:val="26"/>
        </w:rPr>
        <w:t xml:space="preserve">- </w:t>
      </w:r>
      <w:r w:rsidR="00C73A4B" w:rsidRPr="00C73A4B">
        <w:rPr>
          <w:b/>
          <w:sz w:val="28"/>
          <w:szCs w:val="26"/>
          <w:lang w:val="en-US"/>
        </w:rPr>
        <w:t>excise</w:t>
      </w:r>
      <w:r w:rsidR="00C73A4B" w:rsidRPr="00C73A4B">
        <w:rPr>
          <w:b/>
          <w:sz w:val="28"/>
          <w:szCs w:val="26"/>
        </w:rPr>
        <w:t xml:space="preserve"> </w:t>
      </w:r>
      <w:r w:rsidR="00C73A4B" w:rsidRPr="00C73A4B">
        <w:rPr>
          <w:b/>
          <w:sz w:val="28"/>
          <w:szCs w:val="26"/>
          <w:lang w:val="en-US"/>
        </w:rPr>
        <w:t>tax</w:t>
      </w:r>
      <w:r w:rsidR="00C73A4B" w:rsidRPr="00C73A4B">
        <w:rPr>
          <w:b/>
          <w:sz w:val="28"/>
          <w:szCs w:val="26"/>
        </w:rPr>
        <w:t xml:space="preserve"> </w:t>
      </w:r>
      <w:r w:rsidRPr="005F46FB">
        <w:rPr>
          <w:rFonts w:eastAsia="Calibri"/>
          <w:sz w:val="28"/>
          <w:szCs w:val="28"/>
        </w:rPr>
        <w:t xml:space="preserve">– </w:t>
      </w:r>
      <w:r w:rsidR="00C73A4B">
        <w:rPr>
          <w:rFonts w:eastAsia="Calibri"/>
          <w:sz w:val="28"/>
          <w:szCs w:val="28"/>
          <w:lang w:val="en-US"/>
        </w:rPr>
        <w:t>UAH</w:t>
      </w:r>
      <w:r w:rsidR="00C73A4B" w:rsidRPr="00C73A4B">
        <w:rPr>
          <w:rFonts w:eastAsia="Calibri"/>
          <w:sz w:val="28"/>
          <w:szCs w:val="28"/>
        </w:rPr>
        <w:t xml:space="preserve"> </w:t>
      </w:r>
      <w:r w:rsidRPr="005F46FB">
        <w:rPr>
          <w:rFonts w:eastAsia="Calibri"/>
          <w:b/>
          <w:sz w:val="28"/>
          <w:szCs w:val="28"/>
        </w:rPr>
        <w:t>16</w:t>
      </w:r>
      <w:r w:rsidR="00C73A4B" w:rsidRPr="00C73A4B">
        <w:rPr>
          <w:rFonts w:eastAsia="Calibri"/>
          <w:b/>
          <w:sz w:val="28"/>
          <w:szCs w:val="28"/>
        </w:rPr>
        <w:t>.</w:t>
      </w:r>
      <w:r w:rsidRPr="005F46FB">
        <w:rPr>
          <w:rFonts w:eastAsia="Calibri"/>
          <w:b/>
          <w:sz w:val="28"/>
          <w:szCs w:val="28"/>
        </w:rPr>
        <w:t>4 </w:t>
      </w:r>
      <w:r w:rsidR="00C73A4B">
        <w:rPr>
          <w:rFonts w:eastAsia="Calibri"/>
          <w:sz w:val="28"/>
          <w:szCs w:val="28"/>
          <w:lang w:val="en-US"/>
        </w:rPr>
        <w:t>bn</w:t>
      </w:r>
      <w:r w:rsidRPr="005F46FB">
        <w:rPr>
          <w:rFonts w:eastAsia="Calibri"/>
          <w:sz w:val="28"/>
          <w:szCs w:val="28"/>
        </w:rPr>
        <w:t xml:space="preserve">, </w:t>
      </w:r>
      <w:r w:rsidR="00C73A4B">
        <w:rPr>
          <w:rFonts w:eastAsia="Calibri"/>
          <w:sz w:val="28"/>
          <w:szCs w:val="28"/>
          <w:lang w:val="en-US"/>
        </w:rPr>
        <w:t>which</w:t>
      </w:r>
      <w:r w:rsidR="00C73A4B" w:rsidRPr="00C73A4B">
        <w:rPr>
          <w:rFonts w:eastAsia="Calibri"/>
          <w:sz w:val="28"/>
          <w:szCs w:val="28"/>
        </w:rPr>
        <w:t xml:space="preserve"> </w:t>
      </w:r>
      <w:r w:rsidR="00C73A4B">
        <w:rPr>
          <w:rFonts w:eastAsia="Calibri"/>
          <w:sz w:val="28"/>
          <w:szCs w:val="28"/>
          <w:lang w:val="en-US"/>
        </w:rPr>
        <w:t>is</w:t>
      </w:r>
      <w:r w:rsidR="00C73A4B" w:rsidRPr="00C73A4B">
        <w:rPr>
          <w:rFonts w:eastAsia="Calibri"/>
          <w:sz w:val="28"/>
          <w:szCs w:val="28"/>
        </w:rPr>
        <w:t xml:space="preserve"> </w:t>
      </w:r>
      <w:r w:rsidR="00C73A4B">
        <w:rPr>
          <w:rFonts w:eastAsia="Calibri"/>
          <w:sz w:val="28"/>
          <w:szCs w:val="28"/>
          <w:lang w:val="en-US"/>
        </w:rPr>
        <w:t>UAH</w:t>
      </w:r>
      <w:r w:rsidR="00C73A4B" w:rsidRPr="00C73A4B">
        <w:rPr>
          <w:rFonts w:eastAsia="Calibri"/>
          <w:sz w:val="28"/>
          <w:szCs w:val="28"/>
        </w:rPr>
        <w:t xml:space="preserve"> </w:t>
      </w:r>
      <w:r w:rsidR="00C73A4B">
        <w:rPr>
          <w:rFonts w:eastAsia="Calibri"/>
          <w:b/>
          <w:sz w:val="28"/>
          <w:szCs w:val="28"/>
        </w:rPr>
        <w:t>3.</w:t>
      </w:r>
      <w:r w:rsidRPr="005F46FB">
        <w:rPr>
          <w:rFonts w:eastAsia="Calibri"/>
          <w:b/>
          <w:sz w:val="28"/>
          <w:szCs w:val="28"/>
        </w:rPr>
        <w:t>8 </w:t>
      </w:r>
      <w:r w:rsidR="00C73A4B">
        <w:rPr>
          <w:rFonts w:eastAsia="Calibri"/>
          <w:sz w:val="28"/>
          <w:szCs w:val="28"/>
          <w:lang w:val="en-US"/>
        </w:rPr>
        <w:t>bn</w:t>
      </w:r>
      <w:r w:rsidR="00C73A4B" w:rsidRPr="00C73A4B">
        <w:rPr>
          <w:rFonts w:eastAsia="Calibri"/>
          <w:sz w:val="28"/>
          <w:szCs w:val="28"/>
        </w:rPr>
        <w:t xml:space="preserve"> (</w:t>
      </w:r>
      <w:r w:rsidRPr="005F46FB">
        <w:rPr>
          <w:rFonts w:eastAsia="Calibri"/>
          <w:b/>
          <w:sz w:val="28"/>
          <w:szCs w:val="28"/>
        </w:rPr>
        <w:t>18</w:t>
      </w:r>
      <w:r w:rsidR="00C73A4B" w:rsidRPr="00C73A4B">
        <w:rPr>
          <w:rFonts w:eastAsia="Calibri"/>
          <w:b/>
          <w:sz w:val="28"/>
          <w:szCs w:val="28"/>
        </w:rPr>
        <w:t>.</w:t>
      </w:r>
      <w:r w:rsidRPr="005F46FB">
        <w:rPr>
          <w:rFonts w:eastAsia="Calibri"/>
          <w:b/>
          <w:sz w:val="28"/>
          <w:szCs w:val="28"/>
        </w:rPr>
        <w:t>8</w:t>
      </w:r>
      <w:r w:rsidR="00C73A4B" w:rsidRPr="00C73A4B">
        <w:rPr>
          <w:rFonts w:eastAsia="Calibri"/>
          <w:b/>
          <w:sz w:val="28"/>
          <w:szCs w:val="28"/>
        </w:rPr>
        <w:t>%</w:t>
      </w:r>
      <w:r w:rsidR="00C73A4B" w:rsidRPr="00C73A4B">
        <w:rPr>
          <w:rFonts w:eastAsia="Calibri"/>
          <w:sz w:val="28"/>
          <w:szCs w:val="28"/>
        </w:rPr>
        <w:t xml:space="preserve">) </w:t>
      </w:r>
      <w:r w:rsidR="00C73A4B">
        <w:rPr>
          <w:rFonts w:eastAsia="Calibri"/>
          <w:sz w:val="28"/>
          <w:szCs w:val="28"/>
          <w:lang w:val="en-US"/>
        </w:rPr>
        <w:t>lower</w:t>
      </w:r>
      <w:r w:rsidR="00C73A4B" w:rsidRPr="00C73A4B">
        <w:rPr>
          <w:rFonts w:eastAsia="Calibri"/>
          <w:sz w:val="28"/>
          <w:szCs w:val="28"/>
        </w:rPr>
        <w:t xml:space="preserve"> </w:t>
      </w:r>
      <w:r w:rsidR="00C73A4B">
        <w:rPr>
          <w:rFonts w:eastAsia="Calibri"/>
          <w:sz w:val="28"/>
          <w:szCs w:val="28"/>
          <w:lang w:val="en-US"/>
        </w:rPr>
        <w:t>compared</w:t>
      </w:r>
      <w:r w:rsidR="00C73A4B" w:rsidRPr="00C73A4B">
        <w:rPr>
          <w:rFonts w:eastAsia="Calibri"/>
          <w:sz w:val="28"/>
          <w:szCs w:val="28"/>
        </w:rPr>
        <w:t xml:space="preserve"> </w:t>
      </w:r>
      <w:r w:rsidR="00C73A4B">
        <w:rPr>
          <w:rFonts w:eastAsia="Calibri"/>
          <w:sz w:val="28"/>
          <w:szCs w:val="28"/>
          <w:lang w:val="en-US"/>
        </w:rPr>
        <w:t>to</w:t>
      </w:r>
      <w:r w:rsidR="00C73A4B" w:rsidRPr="00C73A4B">
        <w:rPr>
          <w:rFonts w:eastAsia="Calibri"/>
          <w:sz w:val="28"/>
          <w:szCs w:val="28"/>
        </w:rPr>
        <w:t xml:space="preserve"> </w:t>
      </w:r>
      <w:r w:rsidR="00C73A4B">
        <w:rPr>
          <w:rFonts w:eastAsia="Calibri"/>
          <w:sz w:val="28"/>
          <w:szCs w:val="28"/>
          <w:lang w:val="en-US"/>
        </w:rPr>
        <w:t>the</w:t>
      </w:r>
      <w:r w:rsidR="00C73A4B" w:rsidRPr="00C73A4B">
        <w:rPr>
          <w:rFonts w:eastAsia="Calibri"/>
          <w:sz w:val="28"/>
          <w:szCs w:val="28"/>
        </w:rPr>
        <w:t xml:space="preserve"> </w:t>
      </w:r>
      <w:r w:rsidR="00C73A4B">
        <w:rPr>
          <w:rFonts w:eastAsia="Calibri"/>
          <w:sz w:val="28"/>
          <w:szCs w:val="28"/>
          <w:lang w:val="en-US"/>
        </w:rPr>
        <w:t>same</w:t>
      </w:r>
      <w:r w:rsidR="00C73A4B" w:rsidRPr="00C73A4B">
        <w:rPr>
          <w:rFonts w:eastAsia="Calibri"/>
          <w:sz w:val="28"/>
          <w:szCs w:val="28"/>
        </w:rPr>
        <w:t xml:space="preserve"> </w:t>
      </w:r>
      <w:r w:rsidR="00C73A4B">
        <w:rPr>
          <w:rFonts w:eastAsia="Calibri"/>
          <w:sz w:val="28"/>
          <w:szCs w:val="28"/>
          <w:lang w:val="en-US"/>
        </w:rPr>
        <w:t>period</w:t>
      </w:r>
      <w:r w:rsidR="00C73A4B" w:rsidRPr="00C73A4B">
        <w:rPr>
          <w:rFonts w:eastAsia="Calibri"/>
          <w:sz w:val="28"/>
          <w:szCs w:val="28"/>
        </w:rPr>
        <w:t xml:space="preserve"> </w:t>
      </w:r>
      <w:r w:rsidR="00C73A4B">
        <w:rPr>
          <w:rFonts w:eastAsia="Calibri"/>
          <w:sz w:val="28"/>
          <w:szCs w:val="28"/>
          <w:lang w:val="en-US"/>
        </w:rPr>
        <w:t>of</w:t>
      </w:r>
      <w:r w:rsidR="00C73A4B" w:rsidRPr="00C73A4B">
        <w:rPr>
          <w:rFonts w:eastAsia="Calibri"/>
          <w:sz w:val="28"/>
          <w:szCs w:val="28"/>
        </w:rPr>
        <w:t xml:space="preserve"> </w:t>
      </w:r>
      <w:r w:rsidRPr="005F46FB">
        <w:rPr>
          <w:rFonts w:eastAsia="Calibri"/>
          <w:sz w:val="28"/>
          <w:szCs w:val="28"/>
        </w:rPr>
        <w:t>2017</w:t>
      </w:r>
      <w:r w:rsidR="00C73A4B" w:rsidRPr="00C73A4B">
        <w:rPr>
          <w:rFonts w:eastAsia="Calibri"/>
          <w:sz w:val="28"/>
          <w:szCs w:val="28"/>
        </w:rPr>
        <w:t xml:space="preserve">. </w:t>
      </w:r>
      <w:r w:rsidR="00C73A4B">
        <w:rPr>
          <w:rFonts w:eastAsia="Calibri"/>
          <w:sz w:val="28"/>
          <w:szCs w:val="28"/>
          <w:lang w:val="en-US"/>
        </w:rPr>
        <w:t>This</w:t>
      </w:r>
      <w:r w:rsidR="00C73A4B" w:rsidRPr="00C73A4B">
        <w:rPr>
          <w:rFonts w:eastAsia="Calibri"/>
          <w:sz w:val="28"/>
          <w:szCs w:val="28"/>
        </w:rPr>
        <w:t xml:space="preserve"> </w:t>
      </w:r>
      <w:r w:rsidR="00C73A4B">
        <w:rPr>
          <w:rFonts w:eastAsia="Calibri"/>
          <w:sz w:val="28"/>
          <w:szCs w:val="28"/>
          <w:lang w:val="en-US"/>
        </w:rPr>
        <w:t>reduction</w:t>
      </w:r>
      <w:r w:rsidR="00C73A4B" w:rsidRPr="00C73A4B">
        <w:rPr>
          <w:rFonts w:eastAsia="Calibri"/>
          <w:sz w:val="28"/>
          <w:szCs w:val="28"/>
        </w:rPr>
        <w:t xml:space="preserve"> </w:t>
      </w:r>
      <w:r w:rsidR="00C73A4B">
        <w:rPr>
          <w:rFonts w:eastAsia="Calibri"/>
          <w:sz w:val="28"/>
          <w:szCs w:val="28"/>
          <w:lang w:val="en-US"/>
        </w:rPr>
        <w:t>is</w:t>
      </w:r>
      <w:r w:rsidR="00C73A4B" w:rsidRPr="00C73A4B">
        <w:rPr>
          <w:rFonts w:eastAsia="Calibri"/>
          <w:sz w:val="28"/>
          <w:szCs w:val="28"/>
        </w:rPr>
        <w:t xml:space="preserve"> </w:t>
      </w:r>
      <w:r w:rsidR="00C73A4B">
        <w:rPr>
          <w:rFonts w:eastAsia="Calibri"/>
          <w:sz w:val="28"/>
          <w:szCs w:val="28"/>
          <w:lang w:val="en-US"/>
        </w:rPr>
        <w:t>due</w:t>
      </w:r>
      <w:r w:rsidR="00C73A4B" w:rsidRPr="00C73A4B">
        <w:rPr>
          <w:rFonts w:eastAsia="Calibri"/>
          <w:sz w:val="28"/>
          <w:szCs w:val="28"/>
        </w:rPr>
        <w:t xml:space="preserve"> </w:t>
      </w:r>
      <w:r w:rsidR="00C73A4B">
        <w:rPr>
          <w:rFonts w:eastAsia="Calibri"/>
          <w:sz w:val="28"/>
          <w:szCs w:val="28"/>
          <w:lang w:val="en-US"/>
        </w:rPr>
        <w:t>to</w:t>
      </w:r>
      <w:r w:rsidR="00C73A4B" w:rsidRPr="00C73A4B">
        <w:rPr>
          <w:rFonts w:eastAsia="Calibri"/>
          <w:sz w:val="28"/>
          <w:szCs w:val="28"/>
        </w:rPr>
        <w:t xml:space="preserve"> </w:t>
      </w:r>
      <w:r w:rsidR="00982CFE">
        <w:rPr>
          <w:rFonts w:eastAsia="Calibri"/>
          <w:sz w:val="28"/>
          <w:szCs w:val="28"/>
          <w:lang w:val="en-US"/>
        </w:rPr>
        <w:t>the higher transfers to the special fund of revenues from the tax on oil products and vehicles</w:t>
      </w:r>
      <w:r w:rsidRPr="005F46FB">
        <w:rPr>
          <w:rFonts w:eastAsia="Calibri"/>
          <w:sz w:val="28"/>
          <w:szCs w:val="28"/>
        </w:rPr>
        <w:t>;</w:t>
      </w:r>
    </w:p>
    <w:p w:rsidR="000C4C40" w:rsidRPr="005F46FB" w:rsidRDefault="000C4C40" w:rsidP="000C4C40">
      <w:pPr>
        <w:ind w:firstLine="567"/>
        <w:jc w:val="both"/>
        <w:rPr>
          <w:sz w:val="28"/>
          <w:szCs w:val="28"/>
        </w:rPr>
      </w:pPr>
      <w:r>
        <w:rPr>
          <w:rFonts w:eastAsia="Calibri"/>
          <w:sz w:val="28"/>
          <w:szCs w:val="28"/>
        </w:rPr>
        <w:t xml:space="preserve">- </w:t>
      </w:r>
      <w:r w:rsidR="00982CFE" w:rsidRPr="00982CFE">
        <w:rPr>
          <w:rFonts w:eastAsia="Calibri"/>
          <w:b/>
          <w:sz w:val="28"/>
          <w:szCs w:val="28"/>
          <w:lang w:val="en-US"/>
        </w:rPr>
        <w:t>VAT</w:t>
      </w:r>
      <w:r w:rsidR="00982CFE" w:rsidRPr="00982CFE">
        <w:rPr>
          <w:rFonts w:eastAsia="Calibri"/>
          <w:b/>
          <w:sz w:val="28"/>
          <w:szCs w:val="28"/>
        </w:rPr>
        <w:t xml:space="preserve"> </w:t>
      </w:r>
      <w:r w:rsidR="00982CFE" w:rsidRPr="00982CFE">
        <w:rPr>
          <w:rFonts w:eastAsia="Calibri"/>
          <w:b/>
          <w:sz w:val="28"/>
          <w:szCs w:val="28"/>
          <w:lang w:val="en-US"/>
        </w:rPr>
        <w:t>o</w:t>
      </w:r>
      <w:r w:rsidR="00982CFE">
        <w:rPr>
          <w:b/>
          <w:sz w:val="28"/>
          <w:szCs w:val="26"/>
          <w:lang w:val="en-US"/>
        </w:rPr>
        <w:t>n</w:t>
      </w:r>
      <w:r w:rsidR="00982CFE" w:rsidRPr="00982CFE">
        <w:rPr>
          <w:b/>
          <w:sz w:val="28"/>
          <w:szCs w:val="26"/>
        </w:rPr>
        <w:t xml:space="preserve"> </w:t>
      </w:r>
      <w:r w:rsidR="00982CFE">
        <w:rPr>
          <w:b/>
          <w:sz w:val="28"/>
          <w:szCs w:val="26"/>
          <w:lang w:val="en-US"/>
        </w:rPr>
        <w:t>goods</w:t>
      </w:r>
      <w:r w:rsidR="00982CFE" w:rsidRPr="00982CFE">
        <w:rPr>
          <w:b/>
          <w:sz w:val="28"/>
          <w:szCs w:val="26"/>
        </w:rPr>
        <w:t xml:space="preserve"> (</w:t>
      </w:r>
      <w:r w:rsidR="00982CFE">
        <w:rPr>
          <w:b/>
          <w:sz w:val="28"/>
          <w:szCs w:val="26"/>
          <w:lang w:val="en-US"/>
        </w:rPr>
        <w:t>works</w:t>
      </w:r>
      <w:r w:rsidR="00982CFE" w:rsidRPr="00982CFE">
        <w:rPr>
          <w:b/>
          <w:sz w:val="28"/>
          <w:szCs w:val="26"/>
        </w:rPr>
        <w:t xml:space="preserve">, </w:t>
      </w:r>
      <w:r w:rsidR="00982CFE">
        <w:rPr>
          <w:b/>
          <w:sz w:val="28"/>
          <w:szCs w:val="26"/>
          <w:lang w:val="en-US"/>
        </w:rPr>
        <w:t>services</w:t>
      </w:r>
      <w:r w:rsidR="00982CFE" w:rsidRPr="00982CFE">
        <w:rPr>
          <w:b/>
          <w:sz w:val="28"/>
          <w:szCs w:val="26"/>
        </w:rPr>
        <w:t xml:space="preserve">) </w:t>
      </w:r>
      <w:r w:rsidR="00982CFE">
        <w:rPr>
          <w:b/>
          <w:sz w:val="28"/>
          <w:szCs w:val="26"/>
          <w:lang w:val="en-US"/>
        </w:rPr>
        <w:t>manufactured</w:t>
      </w:r>
      <w:r w:rsidR="00982CFE" w:rsidRPr="00982CFE">
        <w:rPr>
          <w:b/>
          <w:sz w:val="28"/>
          <w:szCs w:val="26"/>
        </w:rPr>
        <w:t xml:space="preserve"> </w:t>
      </w:r>
      <w:r w:rsidR="00982CFE">
        <w:rPr>
          <w:b/>
          <w:sz w:val="28"/>
          <w:szCs w:val="26"/>
          <w:lang w:val="en-US"/>
        </w:rPr>
        <w:t>in</w:t>
      </w:r>
      <w:r w:rsidR="00982CFE" w:rsidRPr="00982CFE">
        <w:rPr>
          <w:b/>
          <w:sz w:val="28"/>
          <w:szCs w:val="26"/>
        </w:rPr>
        <w:t xml:space="preserve"> </w:t>
      </w:r>
      <w:r w:rsidR="00982CFE">
        <w:rPr>
          <w:b/>
          <w:sz w:val="28"/>
          <w:szCs w:val="26"/>
          <w:lang w:val="en-US"/>
        </w:rPr>
        <w:t>Ukraine</w:t>
      </w:r>
      <w:r w:rsidR="00982CFE" w:rsidRPr="00982CFE">
        <w:rPr>
          <w:b/>
          <w:sz w:val="28"/>
          <w:szCs w:val="26"/>
        </w:rPr>
        <w:t xml:space="preserve">, </w:t>
      </w:r>
      <w:r w:rsidR="00982CFE">
        <w:rPr>
          <w:b/>
          <w:sz w:val="28"/>
          <w:szCs w:val="26"/>
          <w:lang w:val="en-US"/>
        </w:rPr>
        <w:t>taking</w:t>
      </w:r>
      <w:r w:rsidR="00982CFE" w:rsidRPr="00982CFE">
        <w:rPr>
          <w:b/>
          <w:sz w:val="28"/>
          <w:szCs w:val="26"/>
        </w:rPr>
        <w:t xml:space="preserve"> </w:t>
      </w:r>
      <w:r w:rsidR="00982CFE">
        <w:rPr>
          <w:b/>
          <w:sz w:val="28"/>
          <w:szCs w:val="26"/>
          <w:lang w:val="en-US"/>
        </w:rPr>
        <w:t>into</w:t>
      </w:r>
      <w:r w:rsidR="00982CFE" w:rsidRPr="00982CFE">
        <w:rPr>
          <w:b/>
          <w:sz w:val="28"/>
          <w:szCs w:val="26"/>
        </w:rPr>
        <w:t xml:space="preserve"> </w:t>
      </w:r>
      <w:r w:rsidR="00982CFE">
        <w:rPr>
          <w:b/>
          <w:sz w:val="28"/>
          <w:szCs w:val="26"/>
          <w:lang w:val="en-US"/>
        </w:rPr>
        <w:t>account</w:t>
      </w:r>
      <w:r w:rsidR="00982CFE" w:rsidRPr="00982CFE">
        <w:rPr>
          <w:b/>
          <w:sz w:val="28"/>
          <w:szCs w:val="26"/>
        </w:rPr>
        <w:t xml:space="preserve"> </w:t>
      </w:r>
      <w:r w:rsidR="00982CFE">
        <w:rPr>
          <w:b/>
          <w:sz w:val="28"/>
          <w:szCs w:val="26"/>
          <w:lang w:val="en-US"/>
        </w:rPr>
        <w:t>the</w:t>
      </w:r>
      <w:r w:rsidR="00982CFE" w:rsidRPr="00982CFE">
        <w:rPr>
          <w:b/>
          <w:sz w:val="28"/>
          <w:szCs w:val="26"/>
        </w:rPr>
        <w:t xml:space="preserve"> </w:t>
      </w:r>
      <w:r w:rsidR="00982CFE">
        <w:rPr>
          <w:b/>
          <w:sz w:val="28"/>
          <w:szCs w:val="26"/>
          <w:lang w:val="en-US"/>
        </w:rPr>
        <w:t>VAT</w:t>
      </w:r>
      <w:r w:rsidR="00982CFE" w:rsidRPr="00982CFE">
        <w:rPr>
          <w:b/>
          <w:sz w:val="28"/>
          <w:szCs w:val="26"/>
        </w:rPr>
        <w:t xml:space="preserve"> </w:t>
      </w:r>
      <w:r w:rsidR="00982CFE">
        <w:rPr>
          <w:b/>
          <w:sz w:val="28"/>
          <w:szCs w:val="26"/>
          <w:lang w:val="en-US"/>
        </w:rPr>
        <w:t>refund</w:t>
      </w:r>
      <w:r w:rsidRPr="005F46FB">
        <w:rPr>
          <w:b/>
          <w:sz w:val="28"/>
          <w:szCs w:val="26"/>
        </w:rPr>
        <w:t xml:space="preserve"> </w:t>
      </w:r>
      <w:r w:rsidRPr="005F46FB">
        <w:rPr>
          <w:sz w:val="28"/>
          <w:szCs w:val="26"/>
        </w:rPr>
        <w:t xml:space="preserve">– </w:t>
      </w:r>
      <w:r w:rsidR="00982CFE">
        <w:rPr>
          <w:sz w:val="28"/>
          <w:szCs w:val="26"/>
          <w:lang w:val="en-US"/>
        </w:rPr>
        <w:t>UAH</w:t>
      </w:r>
      <w:r w:rsidR="00982CFE" w:rsidRPr="00982CFE">
        <w:rPr>
          <w:sz w:val="28"/>
          <w:szCs w:val="26"/>
        </w:rPr>
        <w:t xml:space="preserve"> </w:t>
      </w:r>
      <w:r w:rsidRPr="005F46FB">
        <w:rPr>
          <w:b/>
          <w:sz w:val="28"/>
          <w:szCs w:val="26"/>
        </w:rPr>
        <w:t>19</w:t>
      </w:r>
      <w:r w:rsidR="00982CFE" w:rsidRPr="00982CFE">
        <w:rPr>
          <w:b/>
          <w:sz w:val="28"/>
          <w:szCs w:val="26"/>
        </w:rPr>
        <w:t>.</w:t>
      </w:r>
      <w:r w:rsidRPr="005F46FB">
        <w:rPr>
          <w:b/>
          <w:sz w:val="28"/>
          <w:szCs w:val="26"/>
        </w:rPr>
        <w:t xml:space="preserve">1 </w:t>
      </w:r>
      <w:r w:rsidR="00982CFE">
        <w:rPr>
          <w:sz w:val="28"/>
          <w:szCs w:val="26"/>
          <w:lang w:val="en-US"/>
        </w:rPr>
        <w:t>bn</w:t>
      </w:r>
      <w:r w:rsidRPr="005F46FB">
        <w:rPr>
          <w:sz w:val="28"/>
          <w:szCs w:val="26"/>
        </w:rPr>
        <w:t xml:space="preserve">, </w:t>
      </w:r>
      <w:r w:rsidR="00982CFE">
        <w:rPr>
          <w:sz w:val="28"/>
          <w:szCs w:val="26"/>
          <w:lang w:val="en-US"/>
        </w:rPr>
        <w:t xml:space="preserve">which is UAH </w:t>
      </w:r>
      <w:r w:rsidRPr="005F46FB">
        <w:rPr>
          <w:b/>
          <w:sz w:val="28"/>
          <w:szCs w:val="26"/>
        </w:rPr>
        <w:t>4</w:t>
      </w:r>
      <w:r w:rsidR="00982CFE">
        <w:rPr>
          <w:b/>
          <w:sz w:val="28"/>
          <w:szCs w:val="26"/>
          <w:lang w:val="en-US"/>
        </w:rPr>
        <w:t>.</w:t>
      </w:r>
      <w:r w:rsidRPr="005F46FB">
        <w:rPr>
          <w:b/>
          <w:sz w:val="28"/>
          <w:szCs w:val="26"/>
        </w:rPr>
        <w:t>8 </w:t>
      </w:r>
      <w:r w:rsidR="00982CFE">
        <w:rPr>
          <w:sz w:val="28"/>
          <w:szCs w:val="26"/>
          <w:lang w:val="en-US"/>
        </w:rPr>
        <w:t>bn (</w:t>
      </w:r>
      <w:r w:rsidRPr="005F46FB">
        <w:rPr>
          <w:b/>
          <w:sz w:val="28"/>
          <w:szCs w:val="26"/>
        </w:rPr>
        <w:t>20</w:t>
      </w:r>
      <w:r w:rsidR="00982CFE">
        <w:rPr>
          <w:b/>
          <w:sz w:val="28"/>
          <w:szCs w:val="26"/>
          <w:lang w:val="en-US"/>
        </w:rPr>
        <w:t>%</w:t>
      </w:r>
      <w:r w:rsidR="00982CFE">
        <w:rPr>
          <w:sz w:val="28"/>
          <w:szCs w:val="26"/>
          <w:lang w:val="en-US"/>
        </w:rPr>
        <w:t xml:space="preserve">) higher compared to Q1 of </w:t>
      </w:r>
      <w:r w:rsidRPr="005F46FB">
        <w:rPr>
          <w:sz w:val="28"/>
          <w:szCs w:val="28"/>
        </w:rPr>
        <w:t xml:space="preserve">2017; </w:t>
      </w:r>
    </w:p>
    <w:p w:rsidR="000C4C40" w:rsidRDefault="000C4C40" w:rsidP="000C4C40">
      <w:pPr>
        <w:ind w:firstLine="567"/>
        <w:jc w:val="both"/>
        <w:rPr>
          <w:sz w:val="28"/>
          <w:szCs w:val="28"/>
        </w:rPr>
      </w:pPr>
      <w:r w:rsidRPr="005F46FB">
        <w:rPr>
          <w:sz w:val="28"/>
          <w:szCs w:val="26"/>
        </w:rPr>
        <w:t xml:space="preserve">- </w:t>
      </w:r>
      <w:r w:rsidR="00982CFE">
        <w:rPr>
          <w:b/>
          <w:sz w:val="28"/>
          <w:szCs w:val="26"/>
          <w:lang w:val="en-US"/>
        </w:rPr>
        <w:t>rent</w:t>
      </w:r>
      <w:r w:rsidR="00982CFE" w:rsidRPr="00982CFE">
        <w:rPr>
          <w:b/>
          <w:sz w:val="28"/>
          <w:szCs w:val="26"/>
        </w:rPr>
        <w:t xml:space="preserve"> </w:t>
      </w:r>
      <w:r w:rsidR="00982CFE">
        <w:rPr>
          <w:b/>
          <w:sz w:val="28"/>
          <w:szCs w:val="26"/>
          <w:lang w:val="en-US"/>
        </w:rPr>
        <w:t>fee</w:t>
      </w:r>
      <w:r w:rsidR="00982CFE" w:rsidRPr="00982CFE">
        <w:rPr>
          <w:b/>
          <w:sz w:val="28"/>
          <w:szCs w:val="26"/>
        </w:rPr>
        <w:t xml:space="preserve"> </w:t>
      </w:r>
      <w:r w:rsidR="00982CFE">
        <w:rPr>
          <w:b/>
          <w:sz w:val="28"/>
          <w:szCs w:val="26"/>
          <w:lang w:val="en-US"/>
        </w:rPr>
        <w:t>for</w:t>
      </w:r>
      <w:r w:rsidR="00982CFE" w:rsidRPr="00982CFE">
        <w:rPr>
          <w:b/>
          <w:sz w:val="28"/>
          <w:szCs w:val="26"/>
        </w:rPr>
        <w:t xml:space="preserve"> </w:t>
      </w:r>
      <w:r w:rsidR="00982CFE">
        <w:rPr>
          <w:b/>
          <w:sz w:val="28"/>
          <w:szCs w:val="26"/>
          <w:lang w:val="en-US"/>
        </w:rPr>
        <w:t>the</w:t>
      </w:r>
      <w:r w:rsidR="00982CFE" w:rsidRPr="00982CFE">
        <w:rPr>
          <w:b/>
          <w:sz w:val="28"/>
          <w:szCs w:val="26"/>
        </w:rPr>
        <w:t xml:space="preserve"> </w:t>
      </w:r>
      <w:r w:rsidR="00982CFE">
        <w:rPr>
          <w:b/>
          <w:sz w:val="28"/>
          <w:szCs w:val="26"/>
          <w:lang w:val="en-US"/>
        </w:rPr>
        <w:t>use</w:t>
      </w:r>
      <w:r w:rsidR="00982CFE" w:rsidRPr="00982CFE">
        <w:rPr>
          <w:b/>
          <w:sz w:val="28"/>
          <w:szCs w:val="26"/>
        </w:rPr>
        <w:t xml:space="preserve"> </w:t>
      </w:r>
      <w:r w:rsidR="00982CFE">
        <w:rPr>
          <w:b/>
          <w:sz w:val="28"/>
          <w:szCs w:val="26"/>
          <w:lang w:val="en-US"/>
        </w:rPr>
        <w:t>of</w:t>
      </w:r>
      <w:r w:rsidR="00982CFE" w:rsidRPr="00982CFE">
        <w:rPr>
          <w:b/>
          <w:sz w:val="28"/>
          <w:szCs w:val="26"/>
        </w:rPr>
        <w:t xml:space="preserve"> </w:t>
      </w:r>
      <w:r w:rsidR="00982CFE">
        <w:rPr>
          <w:b/>
          <w:sz w:val="28"/>
          <w:szCs w:val="26"/>
          <w:lang w:val="en-US"/>
        </w:rPr>
        <w:t>subsoil</w:t>
      </w:r>
      <w:r w:rsidR="00982CFE" w:rsidRPr="00982CFE">
        <w:rPr>
          <w:b/>
          <w:sz w:val="28"/>
          <w:szCs w:val="26"/>
        </w:rPr>
        <w:t xml:space="preserve"> </w:t>
      </w:r>
      <w:r w:rsidR="00982CFE">
        <w:rPr>
          <w:b/>
          <w:sz w:val="28"/>
          <w:szCs w:val="26"/>
          <w:lang w:val="en-US"/>
        </w:rPr>
        <w:t>resources</w:t>
      </w:r>
      <w:r w:rsidRPr="005F46FB">
        <w:rPr>
          <w:b/>
          <w:sz w:val="28"/>
          <w:szCs w:val="26"/>
        </w:rPr>
        <w:t xml:space="preserve"> </w:t>
      </w:r>
      <w:r w:rsidRPr="005F46FB">
        <w:rPr>
          <w:sz w:val="28"/>
          <w:szCs w:val="26"/>
        </w:rPr>
        <w:t xml:space="preserve">– </w:t>
      </w:r>
      <w:r w:rsidR="00982CFE">
        <w:rPr>
          <w:sz w:val="28"/>
          <w:szCs w:val="26"/>
          <w:lang w:val="en-US"/>
        </w:rPr>
        <w:t>UAH</w:t>
      </w:r>
      <w:r w:rsidR="00982CFE" w:rsidRPr="00982CFE">
        <w:rPr>
          <w:sz w:val="28"/>
          <w:szCs w:val="26"/>
        </w:rPr>
        <w:t xml:space="preserve"> </w:t>
      </w:r>
      <w:r w:rsidRPr="005F46FB">
        <w:rPr>
          <w:b/>
          <w:sz w:val="28"/>
          <w:szCs w:val="26"/>
        </w:rPr>
        <w:t>7</w:t>
      </w:r>
      <w:r w:rsidR="00982CFE" w:rsidRPr="00982CFE">
        <w:rPr>
          <w:b/>
          <w:sz w:val="28"/>
          <w:szCs w:val="26"/>
        </w:rPr>
        <w:t>.</w:t>
      </w:r>
      <w:r w:rsidRPr="005F46FB">
        <w:rPr>
          <w:b/>
          <w:sz w:val="28"/>
          <w:szCs w:val="26"/>
        </w:rPr>
        <w:t>6</w:t>
      </w:r>
      <w:r w:rsidR="00982CFE">
        <w:rPr>
          <w:sz w:val="28"/>
          <w:szCs w:val="26"/>
        </w:rPr>
        <w:t> </w:t>
      </w:r>
      <w:r w:rsidR="00982CFE">
        <w:rPr>
          <w:sz w:val="28"/>
          <w:szCs w:val="26"/>
          <w:lang w:val="en-US"/>
        </w:rPr>
        <w:t>bn</w:t>
      </w:r>
      <w:r w:rsidRPr="005F46FB">
        <w:rPr>
          <w:sz w:val="28"/>
          <w:szCs w:val="26"/>
        </w:rPr>
        <w:t xml:space="preserve">, </w:t>
      </w:r>
      <w:r w:rsidR="00982CFE">
        <w:rPr>
          <w:sz w:val="28"/>
          <w:szCs w:val="26"/>
          <w:lang w:val="en-US"/>
        </w:rPr>
        <w:t xml:space="preserve">which is UAH </w:t>
      </w:r>
      <w:r w:rsidRPr="005F46FB">
        <w:rPr>
          <w:b/>
          <w:sz w:val="28"/>
          <w:szCs w:val="26"/>
        </w:rPr>
        <w:t>11</w:t>
      </w:r>
      <w:r w:rsidR="00982CFE">
        <w:rPr>
          <w:b/>
          <w:sz w:val="28"/>
          <w:szCs w:val="26"/>
          <w:lang w:val="en-US"/>
        </w:rPr>
        <w:t>.</w:t>
      </w:r>
      <w:r w:rsidRPr="005F46FB">
        <w:rPr>
          <w:b/>
          <w:sz w:val="28"/>
          <w:szCs w:val="26"/>
        </w:rPr>
        <w:t>6</w:t>
      </w:r>
      <w:r w:rsidR="00982CFE">
        <w:rPr>
          <w:sz w:val="28"/>
          <w:szCs w:val="26"/>
        </w:rPr>
        <w:t> </w:t>
      </w:r>
      <w:r w:rsidR="00982CFE">
        <w:rPr>
          <w:sz w:val="28"/>
          <w:szCs w:val="26"/>
          <w:lang w:val="en-US"/>
        </w:rPr>
        <w:t>bn</w:t>
      </w:r>
      <w:r w:rsidRPr="005F46FB">
        <w:rPr>
          <w:sz w:val="28"/>
          <w:szCs w:val="26"/>
        </w:rPr>
        <w:t xml:space="preserve"> </w:t>
      </w:r>
      <w:r w:rsidR="00982CFE">
        <w:rPr>
          <w:sz w:val="28"/>
          <w:szCs w:val="26"/>
          <w:lang w:val="en-US"/>
        </w:rPr>
        <w:t>(</w:t>
      </w:r>
      <w:r w:rsidRPr="005F46FB">
        <w:rPr>
          <w:b/>
          <w:sz w:val="28"/>
          <w:szCs w:val="26"/>
        </w:rPr>
        <w:t>60</w:t>
      </w:r>
      <w:r w:rsidR="00982CFE">
        <w:rPr>
          <w:b/>
          <w:sz w:val="28"/>
          <w:szCs w:val="26"/>
          <w:lang w:val="en-US"/>
        </w:rPr>
        <w:t>.</w:t>
      </w:r>
      <w:r w:rsidRPr="005F46FB">
        <w:rPr>
          <w:b/>
          <w:sz w:val="28"/>
          <w:szCs w:val="26"/>
        </w:rPr>
        <w:t>4</w:t>
      </w:r>
      <w:r w:rsidR="00982CFE">
        <w:rPr>
          <w:b/>
          <w:sz w:val="28"/>
          <w:szCs w:val="26"/>
          <w:lang w:val="en-US"/>
        </w:rPr>
        <w:t>%</w:t>
      </w:r>
      <w:r w:rsidR="00982CFE">
        <w:rPr>
          <w:sz w:val="28"/>
          <w:szCs w:val="26"/>
          <w:lang w:val="en-US"/>
        </w:rPr>
        <w:t xml:space="preserve">) lower compared to Q1 of </w:t>
      </w:r>
      <w:r w:rsidRPr="005F46FB">
        <w:rPr>
          <w:sz w:val="28"/>
          <w:szCs w:val="28"/>
        </w:rPr>
        <w:t>2017</w:t>
      </w:r>
      <w:r w:rsidRPr="005F46FB">
        <w:rPr>
          <w:sz w:val="28"/>
          <w:szCs w:val="26"/>
        </w:rPr>
        <w:t xml:space="preserve">. </w:t>
      </w:r>
      <w:r w:rsidR="00982CFE">
        <w:rPr>
          <w:sz w:val="28"/>
          <w:szCs w:val="26"/>
          <w:lang w:val="en-US"/>
        </w:rPr>
        <w:t>This</w:t>
      </w:r>
      <w:r w:rsidR="00982CFE" w:rsidRPr="00982CFE">
        <w:rPr>
          <w:sz w:val="28"/>
          <w:szCs w:val="26"/>
        </w:rPr>
        <w:t xml:space="preserve"> </w:t>
      </w:r>
      <w:r w:rsidR="00982CFE">
        <w:rPr>
          <w:sz w:val="28"/>
          <w:szCs w:val="26"/>
          <w:lang w:val="en-US"/>
        </w:rPr>
        <w:t>reduction</w:t>
      </w:r>
      <w:r w:rsidR="00982CFE" w:rsidRPr="00982CFE">
        <w:rPr>
          <w:sz w:val="28"/>
          <w:szCs w:val="26"/>
        </w:rPr>
        <w:t xml:space="preserve"> </w:t>
      </w:r>
      <w:r w:rsidR="00982CFE">
        <w:rPr>
          <w:sz w:val="28"/>
          <w:szCs w:val="26"/>
          <w:lang w:val="en-US"/>
        </w:rPr>
        <w:t>is</w:t>
      </w:r>
      <w:r w:rsidR="00982CFE" w:rsidRPr="00982CFE">
        <w:rPr>
          <w:sz w:val="28"/>
          <w:szCs w:val="26"/>
        </w:rPr>
        <w:t xml:space="preserve"> </w:t>
      </w:r>
      <w:r w:rsidR="00982CFE">
        <w:rPr>
          <w:sz w:val="28"/>
          <w:szCs w:val="26"/>
          <w:lang w:val="en-US"/>
        </w:rPr>
        <w:t>due</w:t>
      </w:r>
      <w:r w:rsidR="00982CFE" w:rsidRPr="00982CFE">
        <w:rPr>
          <w:sz w:val="28"/>
          <w:szCs w:val="26"/>
        </w:rPr>
        <w:t xml:space="preserve"> </w:t>
      </w:r>
      <w:r w:rsidR="00982CFE">
        <w:rPr>
          <w:sz w:val="28"/>
          <w:szCs w:val="26"/>
          <w:lang w:val="en-US"/>
        </w:rPr>
        <w:t>to</w:t>
      </w:r>
      <w:r w:rsidR="00982CFE" w:rsidRPr="00982CFE">
        <w:rPr>
          <w:sz w:val="28"/>
          <w:szCs w:val="26"/>
        </w:rPr>
        <w:t xml:space="preserve"> </w:t>
      </w:r>
      <w:r w:rsidR="00982CFE">
        <w:rPr>
          <w:sz w:val="28"/>
          <w:szCs w:val="26"/>
          <w:lang w:val="en-US"/>
        </w:rPr>
        <w:t>the</w:t>
      </w:r>
      <w:r w:rsidR="00982CFE" w:rsidRPr="00982CFE">
        <w:rPr>
          <w:sz w:val="28"/>
          <w:szCs w:val="26"/>
        </w:rPr>
        <w:t xml:space="preserve"> </w:t>
      </w:r>
      <w:r w:rsidR="00982CFE">
        <w:rPr>
          <w:sz w:val="28"/>
          <w:szCs w:val="26"/>
          <w:lang w:val="en-US"/>
        </w:rPr>
        <w:t>fact</w:t>
      </w:r>
      <w:r w:rsidR="00982CFE" w:rsidRPr="00982CFE">
        <w:rPr>
          <w:sz w:val="28"/>
          <w:szCs w:val="26"/>
        </w:rPr>
        <w:t xml:space="preserve"> </w:t>
      </w:r>
      <w:r w:rsidR="00982CFE">
        <w:rPr>
          <w:sz w:val="28"/>
          <w:szCs w:val="26"/>
          <w:lang w:val="en-US"/>
        </w:rPr>
        <w:t>that</w:t>
      </w:r>
      <w:r w:rsidR="00982CFE" w:rsidRPr="00982CFE">
        <w:rPr>
          <w:sz w:val="28"/>
          <w:szCs w:val="26"/>
        </w:rPr>
        <w:t xml:space="preserve"> </w:t>
      </w:r>
      <w:r w:rsidR="00982CFE">
        <w:rPr>
          <w:sz w:val="28"/>
          <w:szCs w:val="26"/>
          <w:lang w:val="en-US"/>
        </w:rPr>
        <w:t>in</w:t>
      </w:r>
      <w:r w:rsidR="00982CFE" w:rsidRPr="00982CFE">
        <w:rPr>
          <w:sz w:val="28"/>
          <w:szCs w:val="26"/>
        </w:rPr>
        <w:t xml:space="preserve"> 2017 </w:t>
      </w:r>
      <w:r w:rsidR="002C1E76">
        <w:rPr>
          <w:sz w:val="28"/>
          <w:szCs w:val="26"/>
          <w:lang w:val="en-US"/>
        </w:rPr>
        <w:t>clearing settlements were applied to pay the rent fee according to the Decree of the Cabinet of Ministers No. 20 dd. January</w:t>
      </w:r>
      <w:r w:rsidR="002C1E76" w:rsidRPr="002C1E76">
        <w:rPr>
          <w:sz w:val="28"/>
          <w:szCs w:val="26"/>
          <w:lang w:val="en-US"/>
        </w:rPr>
        <w:t xml:space="preserve"> 11, 2005 “</w:t>
      </w:r>
      <w:r w:rsidR="002C1E76">
        <w:rPr>
          <w:sz w:val="28"/>
          <w:szCs w:val="26"/>
          <w:lang w:val="en-US"/>
        </w:rPr>
        <w:t>On the Approval of the Procedure for the Transfer of Some of the Subsidies from the State Budget to Local Budgets for the Provision of Preferences, Subsidies and Refunds</w:t>
      </w:r>
      <w:r w:rsidR="002C1E76" w:rsidRPr="002C1E76">
        <w:rPr>
          <w:sz w:val="28"/>
          <w:szCs w:val="26"/>
          <w:lang w:val="en-US"/>
        </w:rPr>
        <w:t>”</w:t>
      </w:r>
      <w:r w:rsidR="002C1E76">
        <w:rPr>
          <w:sz w:val="28"/>
          <w:szCs w:val="26"/>
          <w:lang w:val="en-US"/>
        </w:rPr>
        <w:t>. On</w:t>
      </w:r>
      <w:r w:rsidR="002C1E76" w:rsidRPr="002C1E76">
        <w:rPr>
          <w:sz w:val="28"/>
          <w:szCs w:val="26"/>
          <w:lang w:val="en-US"/>
        </w:rPr>
        <w:t xml:space="preserve"> </w:t>
      </w:r>
      <w:r w:rsidR="002C1E76">
        <w:rPr>
          <w:sz w:val="28"/>
          <w:szCs w:val="26"/>
          <w:lang w:val="en-US"/>
        </w:rPr>
        <w:t>January</w:t>
      </w:r>
      <w:r w:rsidR="002C1E76" w:rsidRPr="002C1E76">
        <w:rPr>
          <w:sz w:val="28"/>
          <w:szCs w:val="26"/>
          <w:lang w:val="en-US"/>
        </w:rPr>
        <w:t xml:space="preserve"> 1, 2018, </w:t>
      </w:r>
      <w:r w:rsidR="002C1E76">
        <w:rPr>
          <w:sz w:val="28"/>
          <w:szCs w:val="26"/>
          <w:lang w:val="en-US"/>
        </w:rPr>
        <w:t>this Decree was abolished and replaced by the monetization of preferences and housing subsidies;</w:t>
      </w:r>
    </w:p>
    <w:p w:rsidR="000C4C40" w:rsidRPr="005F46FB" w:rsidRDefault="000C4C40" w:rsidP="000C4C40">
      <w:pPr>
        <w:ind w:firstLine="567"/>
        <w:jc w:val="both"/>
        <w:rPr>
          <w:sz w:val="28"/>
          <w:szCs w:val="28"/>
        </w:rPr>
      </w:pPr>
      <w:r w:rsidRPr="005F46FB">
        <w:rPr>
          <w:sz w:val="28"/>
          <w:szCs w:val="26"/>
        </w:rPr>
        <w:t>-</w:t>
      </w:r>
      <w:r w:rsidRPr="002C1E76">
        <w:rPr>
          <w:b/>
          <w:sz w:val="28"/>
          <w:szCs w:val="26"/>
        </w:rPr>
        <w:t xml:space="preserve"> </w:t>
      </w:r>
      <w:r w:rsidR="002C1E76" w:rsidRPr="002C1E76">
        <w:rPr>
          <w:b/>
          <w:sz w:val="28"/>
          <w:szCs w:val="26"/>
          <w:lang w:val="en-US"/>
        </w:rPr>
        <w:t>import</w:t>
      </w:r>
      <w:r w:rsidR="002C1E76" w:rsidRPr="002C1E76">
        <w:rPr>
          <w:b/>
          <w:sz w:val="28"/>
          <w:szCs w:val="26"/>
        </w:rPr>
        <w:t xml:space="preserve"> </w:t>
      </w:r>
      <w:r w:rsidR="002C1E76" w:rsidRPr="002C1E76">
        <w:rPr>
          <w:b/>
          <w:sz w:val="28"/>
          <w:szCs w:val="26"/>
          <w:lang w:val="en-US"/>
        </w:rPr>
        <w:t>duties</w:t>
      </w:r>
      <w:r w:rsidRPr="005F46FB">
        <w:rPr>
          <w:sz w:val="28"/>
          <w:szCs w:val="26"/>
        </w:rPr>
        <w:t xml:space="preserve"> – </w:t>
      </w:r>
      <w:r w:rsidR="002C1E76">
        <w:rPr>
          <w:sz w:val="28"/>
          <w:szCs w:val="26"/>
          <w:lang w:val="en-US"/>
        </w:rPr>
        <w:t>UAH</w:t>
      </w:r>
      <w:r w:rsidR="002C1E76" w:rsidRPr="002C1E76">
        <w:rPr>
          <w:sz w:val="28"/>
          <w:szCs w:val="26"/>
        </w:rPr>
        <w:t xml:space="preserve"> </w:t>
      </w:r>
      <w:r w:rsidRPr="005F46FB">
        <w:rPr>
          <w:b/>
          <w:sz w:val="28"/>
          <w:szCs w:val="26"/>
        </w:rPr>
        <w:t>5</w:t>
      </w:r>
      <w:r w:rsidR="002C1E76" w:rsidRPr="002C1E76">
        <w:rPr>
          <w:b/>
          <w:sz w:val="28"/>
          <w:szCs w:val="26"/>
        </w:rPr>
        <w:t>.</w:t>
      </w:r>
      <w:r w:rsidRPr="005F46FB">
        <w:rPr>
          <w:b/>
          <w:sz w:val="28"/>
          <w:szCs w:val="26"/>
        </w:rPr>
        <w:t>3</w:t>
      </w:r>
      <w:r w:rsidRPr="005F46FB">
        <w:rPr>
          <w:sz w:val="28"/>
          <w:szCs w:val="26"/>
        </w:rPr>
        <w:t> </w:t>
      </w:r>
      <w:r w:rsidR="002C1E76">
        <w:rPr>
          <w:sz w:val="28"/>
          <w:szCs w:val="26"/>
          <w:lang w:val="en-US"/>
        </w:rPr>
        <w:t>bn</w:t>
      </w:r>
      <w:r w:rsidRPr="005F46FB">
        <w:rPr>
          <w:sz w:val="28"/>
          <w:szCs w:val="26"/>
        </w:rPr>
        <w:t xml:space="preserve">, </w:t>
      </w:r>
      <w:r w:rsidR="002C1E76">
        <w:rPr>
          <w:sz w:val="28"/>
          <w:szCs w:val="26"/>
          <w:lang w:val="en-US"/>
        </w:rPr>
        <w:t>which</w:t>
      </w:r>
      <w:r w:rsidR="002C1E76" w:rsidRPr="002C1E76">
        <w:rPr>
          <w:sz w:val="28"/>
          <w:szCs w:val="26"/>
        </w:rPr>
        <w:t xml:space="preserve"> </w:t>
      </w:r>
      <w:r w:rsidR="002C1E76">
        <w:rPr>
          <w:sz w:val="28"/>
          <w:szCs w:val="26"/>
          <w:lang w:val="en-US"/>
        </w:rPr>
        <w:t>is</w:t>
      </w:r>
      <w:r w:rsidR="002C1E76" w:rsidRPr="002C1E76">
        <w:rPr>
          <w:sz w:val="28"/>
          <w:szCs w:val="26"/>
        </w:rPr>
        <w:t xml:space="preserve"> </w:t>
      </w:r>
      <w:r w:rsidR="002C1E76">
        <w:rPr>
          <w:sz w:val="28"/>
          <w:szCs w:val="26"/>
          <w:lang w:val="en-US"/>
        </w:rPr>
        <w:t>UAH</w:t>
      </w:r>
      <w:r w:rsidRPr="005F46FB">
        <w:rPr>
          <w:sz w:val="28"/>
          <w:szCs w:val="26"/>
        </w:rPr>
        <w:t xml:space="preserve"> </w:t>
      </w:r>
      <w:r w:rsidRPr="005F46FB">
        <w:rPr>
          <w:b/>
          <w:sz w:val="28"/>
          <w:szCs w:val="26"/>
        </w:rPr>
        <w:t>0</w:t>
      </w:r>
      <w:r w:rsidR="002C1E76" w:rsidRPr="002C1E76">
        <w:rPr>
          <w:b/>
          <w:sz w:val="28"/>
          <w:szCs w:val="26"/>
        </w:rPr>
        <w:t>.</w:t>
      </w:r>
      <w:r w:rsidRPr="005F46FB">
        <w:rPr>
          <w:b/>
          <w:sz w:val="28"/>
          <w:szCs w:val="26"/>
        </w:rPr>
        <w:t>3</w:t>
      </w:r>
      <w:r w:rsidR="002C1E76">
        <w:rPr>
          <w:sz w:val="28"/>
          <w:szCs w:val="26"/>
        </w:rPr>
        <w:t> </w:t>
      </w:r>
      <w:r w:rsidR="002C1E76">
        <w:rPr>
          <w:sz w:val="28"/>
          <w:szCs w:val="26"/>
          <w:lang w:val="en-US"/>
        </w:rPr>
        <w:t>bn</w:t>
      </w:r>
      <w:r w:rsidR="002C1E76" w:rsidRPr="002C1E76">
        <w:rPr>
          <w:sz w:val="28"/>
          <w:szCs w:val="26"/>
        </w:rPr>
        <w:t xml:space="preserve"> (</w:t>
      </w:r>
      <w:r w:rsidRPr="005F46FB">
        <w:rPr>
          <w:b/>
          <w:sz w:val="28"/>
          <w:szCs w:val="26"/>
        </w:rPr>
        <w:t>6</w:t>
      </w:r>
      <w:r w:rsidR="002C1E76" w:rsidRPr="002C1E76">
        <w:rPr>
          <w:b/>
          <w:sz w:val="28"/>
          <w:szCs w:val="26"/>
        </w:rPr>
        <w:t>.</w:t>
      </w:r>
      <w:r w:rsidRPr="005F46FB">
        <w:rPr>
          <w:b/>
          <w:sz w:val="28"/>
          <w:szCs w:val="26"/>
        </w:rPr>
        <w:t>8</w:t>
      </w:r>
      <w:r w:rsidR="002C1E76" w:rsidRPr="002C1E76">
        <w:rPr>
          <w:b/>
          <w:sz w:val="28"/>
          <w:szCs w:val="26"/>
        </w:rPr>
        <w:t>%</w:t>
      </w:r>
      <w:r w:rsidR="002C1E76" w:rsidRPr="002C1E76">
        <w:rPr>
          <w:sz w:val="28"/>
          <w:szCs w:val="26"/>
        </w:rPr>
        <w:t>)</w:t>
      </w:r>
      <w:r w:rsidR="002C1E76">
        <w:rPr>
          <w:sz w:val="28"/>
          <w:szCs w:val="26"/>
          <w:lang w:val="en-US"/>
        </w:rPr>
        <w:t xml:space="preserve"> higher compared to Q1 of </w:t>
      </w:r>
      <w:r w:rsidRPr="005F46FB">
        <w:rPr>
          <w:sz w:val="28"/>
          <w:szCs w:val="28"/>
        </w:rPr>
        <w:t>2017;</w:t>
      </w:r>
    </w:p>
    <w:p w:rsidR="000C4C40" w:rsidRPr="005F46FB" w:rsidRDefault="002C1E76" w:rsidP="002C1E76">
      <w:pPr>
        <w:jc w:val="both"/>
        <w:rPr>
          <w:rStyle w:val="fontstyle20"/>
          <w:sz w:val="28"/>
          <w:szCs w:val="28"/>
        </w:rPr>
      </w:pPr>
      <w:r>
        <w:rPr>
          <w:sz w:val="28"/>
          <w:szCs w:val="26"/>
          <w:lang w:val="en-US"/>
        </w:rPr>
        <w:t>In</w:t>
      </w:r>
      <w:r w:rsidRPr="002C1E76">
        <w:rPr>
          <w:sz w:val="28"/>
          <w:szCs w:val="26"/>
        </w:rPr>
        <w:t xml:space="preserve"> </w:t>
      </w:r>
      <w:r>
        <w:rPr>
          <w:sz w:val="28"/>
          <w:szCs w:val="26"/>
          <w:lang w:val="en-US"/>
        </w:rPr>
        <w:t>Q</w:t>
      </w:r>
      <w:r w:rsidRPr="002C1E76">
        <w:rPr>
          <w:sz w:val="28"/>
          <w:szCs w:val="26"/>
        </w:rPr>
        <w:t xml:space="preserve">1 </w:t>
      </w:r>
      <w:r>
        <w:rPr>
          <w:sz w:val="28"/>
          <w:szCs w:val="26"/>
          <w:lang w:val="en-US"/>
        </w:rPr>
        <w:t>of</w:t>
      </w:r>
      <w:r w:rsidRPr="002C1E76">
        <w:rPr>
          <w:sz w:val="28"/>
          <w:szCs w:val="26"/>
        </w:rPr>
        <w:t xml:space="preserve"> </w:t>
      </w:r>
      <w:r w:rsidR="000C4C40" w:rsidRPr="005F46FB">
        <w:rPr>
          <w:sz w:val="28"/>
          <w:szCs w:val="26"/>
        </w:rPr>
        <w:t>2018</w:t>
      </w:r>
      <w:r w:rsidRPr="002C1E76">
        <w:rPr>
          <w:sz w:val="28"/>
          <w:szCs w:val="26"/>
        </w:rPr>
        <w:t xml:space="preserve">, </w:t>
      </w:r>
      <w:r>
        <w:rPr>
          <w:sz w:val="28"/>
          <w:szCs w:val="26"/>
          <w:lang w:val="en-US"/>
        </w:rPr>
        <w:t>the</w:t>
      </w:r>
      <w:r w:rsidRPr="002C1E76">
        <w:rPr>
          <w:sz w:val="28"/>
          <w:szCs w:val="26"/>
        </w:rPr>
        <w:t xml:space="preserve"> </w:t>
      </w:r>
      <w:r w:rsidRPr="002C1E76">
        <w:rPr>
          <w:b/>
          <w:sz w:val="28"/>
          <w:szCs w:val="26"/>
          <w:lang w:val="en-US"/>
        </w:rPr>
        <w:t>VAT</w:t>
      </w:r>
      <w:r w:rsidRPr="002C1E76">
        <w:rPr>
          <w:b/>
          <w:sz w:val="28"/>
          <w:szCs w:val="26"/>
        </w:rPr>
        <w:t xml:space="preserve"> </w:t>
      </w:r>
      <w:r w:rsidRPr="002C1E76">
        <w:rPr>
          <w:b/>
          <w:sz w:val="28"/>
          <w:szCs w:val="26"/>
          <w:lang w:val="en-US"/>
        </w:rPr>
        <w:t>refund</w:t>
      </w:r>
      <w:r w:rsidRPr="002C1E76">
        <w:rPr>
          <w:sz w:val="28"/>
          <w:szCs w:val="26"/>
        </w:rPr>
        <w:t xml:space="preserve"> </w:t>
      </w:r>
      <w:r>
        <w:rPr>
          <w:sz w:val="28"/>
          <w:szCs w:val="26"/>
          <w:lang w:val="en-US"/>
        </w:rPr>
        <w:t>from</w:t>
      </w:r>
      <w:r w:rsidRPr="002C1E76">
        <w:rPr>
          <w:sz w:val="28"/>
          <w:szCs w:val="26"/>
        </w:rPr>
        <w:t xml:space="preserve"> </w:t>
      </w:r>
      <w:r>
        <w:rPr>
          <w:sz w:val="28"/>
          <w:szCs w:val="26"/>
          <w:lang w:val="en-US"/>
        </w:rPr>
        <w:t>the</w:t>
      </w:r>
      <w:r w:rsidRPr="002C1E76">
        <w:rPr>
          <w:sz w:val="28"/>
          <w:szCs w:val="26"/>
        </w:rPr>
        <w:t xml:space="preserve"> </w:t>
      </w:r>
      <w:r>
        <w:rPr>
          <w:sz w:val="28"/>
          <w:szCs w:val="26"/>
          <w:lang w:val="en-US"/>
        </w:rPr>
        <w:t>general</w:t>
      </w:r>
      <w:r w:rsidRPr="002C1E76">
        <w:rPr>
          <w:sz w:val="28"/>
          <w:szCs w:val="26"/>
        </w:rPr>
        <w:t xml:space="preserve"> </w:t>
      </w:r>
      <w:r>
        <w:rPr>
          <w:sz w:val="28"/>
          <w:szCs w:val="26"/>
          <w:lang w:val="en-US"/>
        </w:rPr>
        <w:t>fund</w:t>
      </w:r>
      <w:r w:rsidRPr="002C1E76">
        <w:rPr>
          <w:sz w:val="28"/>
          <w:szCs w:val="26"/>
        </w:rPr>
        <w:t xml:space="preserve"> </w:t>
      </w:r>
      <w:r>
        <w:rPr>
          <w:sz w:val="28"/>
          <w:szCs w:val="26"/>
          <w:lang w:val="en-US"/>
        </w:rPr>
        <w:t>of</w:t>
      </w:r>
      <w:r w:rsidRPr="002C1E76">
        <w:rPr>
          <w:sz w:val="28"/>
          <w:szCs w:val="26"/>
        </w:rPr>
        <w:t xml:space="preserve"> </w:t>
      </w:r>
      <w:r>
        <w:rPr>
          <w:sz w:val="28"/>
          <w:szCs w:val="26"/>
          <w:lang w:val="en-US"/>
        </w:rPr>
        <w:t>the</w:t>
      </w:r>
      <w:r w:rsidRPr="002C1E76">
        <w:rPr>
          <w:sz w:val="28"/>
          <w:szCs w:val="26"/>
        </w:rPr>
        <w:t xml:space="preserve"> </w:t>
      </w:r>
      <w:r>
        <w:rPr>
          <w:sz w:val="28"/>
          <w:szCs w:val="26"/>
          <w:lang w:val="en-US"/>
        </w:rPr>
        <w:t>state</w:t>
      </w:r>
      <w:r w:rsidRPr="002C1E76">
        <w:rPr>
          <w:sz w:val="28"/>
          <w:szCs w:val="26"/>
        </w:rPr>
        <w:t xml:space="preserve"> </w:t>
      </w:r>
      <w:r>
        <w:rPr>
          <w:sz w:val="28"/>
          <w:szCs w:val="26"/>
          <w:lang w:val="en-US"/>
        </w:rPr>
        <w:t>budget</w:t>
      </w:r>
      <w:r w:rsidRPr="002C1E76">
        <w:rPr>
          <w:sz w:val="28"/>
          <w:szCs w:val="26"/>
        </w:rPr>
        <w:t xml:space="preserve"> </w:t>
      </w:r>
      <w:r>
        <w:rPr>
          <w:sz w:val="28"/>
          <w:szCs w:val="26"/>
          <w:lang w:val="en-US"/>
        </w:rPr>
        <w:t>was</w:t>
      </w:r>
      <w:r w:rsidRPr="002C1E76">
        <w:rPr>
          <w:sz w:val="28"/>
          <w:szCs w:val="26"/>
        </w:rPr>
        <w:t xml:space="preserve"> </w:t>
      </w:r>
      <w:r>
        <w:rPr>
          <w:sz w:val="28"/>
          <w:szCs w:val="26"/>
          <w:lang w:val="en-US"/>
        </w:rPr>
        <w:t>equal</w:t>
      </w:r>
      <w:r w:rsidRPr="002C1E76">
        <w:rPr>
          <w:sz w:val="28"/>
          <w:szCs w:val="26"/>
        </w:rPr>
        <w:t xml:space="preserve"> </w:t>
      </w:r>
      <w:r>
        <w:rPr>
          <w:sz w:val="28"/>
          <w:szCs w:val="26"/>
          <w:lang w:val="en-US"/>
        </w:rPr>
        <w:t>to</w:t>
      </w:r>
      <w:r w:rsidR="000C4C40" w:rsidRPr="005F46FB">
        <w:rPr>
          <w:sz w:val="28"/>
          <w:szCs w:val="26"/>
        </w:rPr>
        <w:t xml:space="preserve"> </w:t>
      </w:r>
      <w:r>
        <w:rPr>
          <w:sz w:val="28"/>
          <w:szCs w:val="26"/>
          <w:lang w:val="en-US"/>
        </w:rPr>
        <w:t>UAH</w:t>
      </w:r>
      <w:r w:rsidR="000C4C40" w:rsidRPr="005F46FB">
        <w:rPr>
          <w:sz w:val="28"/>
          <w:szCs w:val="26"/>
        </w:rPr>
        <w:t xml:space="preserve"> </w:t>
      </w:r>
      <w:r w:rsidR="000C4C40" w:rsidRPr="005F46FB">
        <w:rPr>
          <w:b/>
          <w:sz w:val="28"/>
          <w:szCs w:val="26"/>
        </w:rPr>
        <w:t>33</w:t>
      </w:r>
      <w:r>
        <w:rPr>
          <w:b/>
          <w:sz w:val="28"/>
          <w:szCs w:val="26"/>
          <w:lang w:val="en-US"/>
        </w:rPr>
        <w:t>.</w:t>
      </w:r>
      <w:r w:rsidR="000C4C40" w:rsidRPr="005F46FB">
        <w:rPr>
          <w:b/>
          <w:sz w:val="28"/>
          <w:szCs w:val="26"/>
        </w:rPr>
        <w:t>6</w:t>
      </w:r>
      <w:r w:rsidR="000C4C40" w:rsidRPr="005F46FB">
        <w:rPr>
          <w:sz w:val="28"/>
          <w:szCs w:val="26"/>
        </w:rPr>
        <w:t> </w:t>
      </w:r>
      <w:r>
        <w:rPr>
          <w:sz w:val="28"/>
          <w:szCs w:val="26"/>
          <w:lang w:val="en-US"/>
        </w:rPr>
        <w:t>bn, which is UAH</w:t>
      </w:r>
      <w:r w:rsidR="000C4C40" w:rsidRPr="005F46FB">
        <w:rPr>
          <w:sz w:val="28"/>
          <w:szCs w:val="26"/>
        </w:rPr>
        <w:t xml:space="preserve"> </w:t>
      </w:r>
      <w:r w:rsidR="000C4C40" w:rsidRPr="005F46FB">
        <w:rPr>
          <w:b/>
          <w:sz w:val="28"/>
          <w:szCs w:val="26"/>
        </w:rPr>
        <w:t>6</w:t>
      </w:r>
      <w:r>
        <w:rPr>
          <w:b/>
          <w:sz w:val="28"/>
          <w:szCs w:val="26"/>
          <w:lang w:val="en-US"/>
        </w:rPr>
        <w:t>.</w:t>
      </w:r>
      <w:r w:rsidR="000C4C40" w:rsidRPr="005F46FB">
        <w:rPr>
          <w:b/>
          <w:sz w:val="28"/>
          <w:szCs w:val="26"/>
        </w:rPr>
        <w:t>7</w:t>
      </w:r>
      <w:r w:rsidR="000C4C40" w:rsidRPr="005F46FB">
        <w:rPr>
          <w:sz w:val="28"/>
          <w:szCs w:val="26"/>
        </w:rPr>
        <w:t xml:space="preserve"> </w:t>
      </w:r>
      <w:r>
        <w:rPr>
          <w:sz w:val="28"/>
          <w:szCs w:val="26"/>
          <w:lang w:val="en-US"/>
        </w:rPr>
        <w:t xml:space="preserve">bn higher compared to Q1 of </w:t>
      </w:r>
      <w:r w:rsidR="000C4C40" w:rsidRPr="005F46FB">
        <w:rPr>
          <w:sz w:val="28"/>
          <w:szCs w:val="26"/>
        </w:rPr>
        <w:t>2017</w:t>
      </w:r>
      <w:r w:rsidR="000C4C40" w:rsidRPr="005F46FB">
        <w:rPr>
          <w:rStyle w:val="fontstyle20"/>
          <w:sz w:val="28"/>
          <w:szCs w:val="28"/>
        </w:rPr>
        <w:t xml:space="preserve">. </w:t>
      </w:r>
    </w:p>
    <w:p w:rsidR="000C4C40" w:rsidRPr="005F46FB" w:rsidRDefault="002C1E76" w:rsidP="002C1E76">
      <w:pPr>
        <w:jc w:val="both"/>
        <w:rPr>
          <w:szCs w:val="28"/>
        </w:rPr>
      </w:pPr>
      <w:r>
        <w:rPr>
          <w:sz w:val="28"/>
          <w:szCs w:val="26"/>
          <w:lang w:val="en-US"/>
        </w:rPr>
        <w:t>The</w:t>
      </w:r>
      <w:r w:rsidRPr="002C1E76">
        <w:rPr>
          <w:sz w:val="28"/>
          <w:szCs w:val="26"/>
        </w:rPr>
        <w:t xml:space="preserve"> </w:t>
      </w:r>
      <w:r>
        <w:rPr>
          <w:sz w:val="28"/>
          <w:szCs w:val="26"/>
          <w:lang w:val="en-US"/>
        </w:rPr>
        <w:t>revenues</w:t>
      </w:r>
      <w:r w:rsidRPr="002C1E76">
        <w:rPr>
          <w:sz w:val="28"/>
          <w:szCs w:val="26"/>
        </w:rPr>
        <w:t xml:space="preserve"> </w:t>
      </w:r>
      <w:r>
        <w:rPr>
          <w:sz w:val="28"/>
          <w:szCs w:val="26"/>
          <w:lang w:val="en-US"/>
        </w:rPr>
        <w:t>of</w:t>
      </w:r>
      <w:r w:rsidRPr="002C1E76">
        <w:rPr>
          <w:sz w:val="28"/>
          <w:szCs w:val="26"/>
        </w:rPr>
        <w:t xml:space="preserve"> </w:t>
      </w:r>
      <w:r>
        <w:rPr>
          <w:sz w:val="28"/>
          <w:szCs w:val="26"/>
          <w:lang w:val="en-US"/>
        </w:rPr>
        <w:t>the</w:t>
      </w:r>
      <w:r w:rsidRPr="002C1E76">
        <w:rPr>
          <w:sz w:val="28"/>
          <w:szCs w:val="26"/>
        </w:rPr>
        <w:t xml:space="preserve"> </w:t>
      </w:r>
      <w:r>
        <w:rPr>
          <w:sz w:val="28"/>
          <w:szCs w:val="26"/>
          <w:lang w:val="en-US"/>
        </w:rPr>
        <w:t>special</w:t>
      </w:r>
      <w:r w:rsidRPr="002C1E76">
        <w:rPr>
          <w:sz w:val="28"/>
          <w:szCs w:val="26"/>
        </w:rPr>
        <w:t xml:space="preserve"> </w:t>
      </w:r>
      <w:r>
        <w:rPr>
          <w:sz w:val="28"/>
          <w:szCs w:val="26"/>
          <w:lang w:val="en-US"/>
        </w:rPr>
        <w:t>fund</w:t>
      </w:r>
      <w:r w:rsidRPr="002C1E76">
        <w:rPr>
          <w:sz w:val="28"/>
          <w:szCs w:val="26"/>
        </w:rPr>
        <w:t xml:space="preserve"> </w:t>
      </w:r>
      <w:r>
        <w:rPr>
          <w:sz w:val="28"/>
          <w:szCs w:val="26"/>
          <w:lang w:val="en-US"/>
        </w:rPr>
        <w:t>of</w:t>
      </w:r>
      <w:r w:rsidRPr="002C1E76">
        <w:rPr>
          <w:sz w:val="28"/>
          <w:szCs w:val="26"/>
        </w:rPr>
        <w:t xml:space="preserve"> </w:t>
      </w:r>
      <w:r>
        <w:rPr>
          <w:sz w:val="28"/>
          <w:szCs w:val="26"/>
          <w:lang w:val="en-US"/>
        </w:rPr>
        <w:t>the</w:t>
      </w:r>
      <w:r w:rsidRPr="002C1E76">
        <w:rPr>
          <w:sz w:val="28"/>
          <w:szCs w:val="26"/>
        </w:rPr>
        <w:t xml:space="preserve"> </w:t>
      </w:r>
      <w:r>
        <w:rPr>
          <w:sz w:val="28"/>
          <w:szCs w:val="26"/>
          <w:lang w:val="en-US"/>
        </w:rPr>
        <w:t>state</w:t>
      </w:r>
      <w:r w:rsidRPr="002C1E76">
        <w:rPr>
          <w:sz w:val="28"/>
          <w:szCs w:val="26"/>
        </w:rPr>
        <w:t xml:space="preserve"> </w:t>
      </w:r>
      <w:r>
        <w:rPr>
          <w:sz w:val="28"/>
          <w:szCs w:val="26"/>
          <w:lang w:val="en-US"/>
        </w:rPr>
        <w:t>budget</w:t>
      </w:r>
      <w:r w:rsidRPr="002C1E76">
        <w:rPr>
          <w:sz w:val="28"/>
          <w:szCs w:val="26"/>
        </w:rPr>
        <w:t xml:space="preserve"> </w:t>
      </w:r>
      <w:r>
        <w:rPr>
          <w:sz w:val="28"/>
          <w:szCs w:val="26"/>
          <w:lang w:val="en-US"/>
        </w:rPr>
        <w:t>in</w:t>
      </w:r>
      <w:r w:rsidRPr="002C1E76">
        <w:rPr>
          <w:sz w:val="28"/>
          <w:szCs w:val="26"/>
        </w:rPr>
        <w:t xml:space="preserve"> </w:t>
      </w:r>
      <w:r>
        <w:rPr>
          <w:sz w:val="28"/>
          <w:szCs w:val="26"/>
          <w:lang w:val="en-US"/>
        </w:rPr>
        <w:t>Q</w:t>
      </w:r>
      <w:r w:rsidRPr="002C1E76">
        <w:rPr>
          <w:sz w:val="28"/>
          <w:szCs w:val="26"/>
        </w:rPr>
        <w:t xml:space="preserve">1 </w:t>
      </w:r>
      <w:r>
        <w:rPr>
          <w:sz w:val="28"/>
          <w:szCs w:val="26"/>
          <w:lang w:val="en-US"/>
        </w:rPr>
        <w:t>of</w:t>
      </w:r>
      <w:r w:rsidRPr="002C1E76">
        <w:rPr>
          <w:sz w:val="28"/>
          <w:szCs w:val="26"/>
        </w:rPr>
        <w:t xml:space="preserve"> 2018 </w:t>
      </w:r>
      <w:r>
        <w:rPr>
          <w:sz w:val="28"/>
          <w:szCs w:val="26"/>
          <w:lang w:val="en-US"/>
        </w:rPr>
        <w:t>were</w:t>
      </w:r>
      <w:r w:rsidRPr="002C1E76">
        <w:rPr>
          <w:sz w:val="28"/>
          <w:szCs w:val="26"/>
        </w:rPr>
        <w:t xml:space="preserve"> </w:t>
      </w:r>
      <w:r>
        <w:rPr>
          <w:sz w:val="28"/>
          <w:szCs w:val="26"/>
          <w:lang w:val="en-US"/>
        </w:rPr>
        <w:t>equal</w:t>
      </w:r>
      <w:r w:rsidRPr="002C1E76">
        <w:rPr>
          <w:sz w:val="28"/>
          <w:szCs w:val="26"/>
        </w:rPr>
        <w:t xml:space="preserve"> </w:t>
      </w:r>
      <w:r>
        <w:rPr>
          <w:sz w:val="28"/>
          <w:szCs w:val="26"/>
          <w:lang w:val="en-US"/>
        </w:rPr>
        <w:t>to</w:t>
      </w:r>
      <w:r w:rsidRPr="002C1E76">
        <w:rPr>
          <w:sz w:val="28"/>
          <w:szCs w:val="26"/>
        </w:rPr>
        <w:t xml:space="preserve"> </w:t>
      </w:r>
      <w:r>
        <w:rPr>
          <w:sz w:val="28"/>
          <w:szCs w:val="26"/>
          <w:lang w:val="en-US"/>
        </w:rPr>
        <w:t>UAH</w:t>
      </w:r>
      <w:r w:rsidRPr="002C1E76">
        <w:rPr>
          <w:sz w:val="28"/>
          <w:szCs w:val="26"/>
        </w:rPr>
        <w:t xml:space="preserve"> </w:t>
      </w:r>
      <w:r w:rsidR="000C4C40" w:rsidRPr="005F46FB">
        <w:rPr>
          <w:b/>
          <w:sz w:val="28"/>
          <w:szCs w:val="26"/>
        </w:rPr>
        <w:t>18</w:t>
      </w:r>
      <w:r w:rsidRPr="002C1E76">
        <w:rPr>
          <w:b/>
          <w:sz w:val="28"/>
          <w:szCs w:val="26"/>
        </w:rPr>
        <w:t>.</w:t>
      </w:r>
      <w:r w:rsidR="000C4C40" w:rsidRPr="005F46FB">
        <w:rPr>
          <w:b/>
          <w:sz w:val="28"/>
          <w:szCs w:val="26"/>
        </w:rPr>
        <w:t>1 </w:t>
      </w:r>
      <w:r>
        <w:rPr>
          <w:sz w:val="28"/>
          <w:szCs w:val="26"/>
          <w:lang w:val="en-US"/>
        </w:rPr>
        <w:t>bn</w:t>
      </w:r>
      <w:r w:rsidRPr="002C1E76">
        <w:rPr>
          <w:sz w:val="28"/>
          <w:szCs w:val="26"/>
        </w:rPr>
        <w:t xml:space="preserve">, </w:t>
      </w:r>
      <w:r>
        <w:rPr>
          <w:sz w:val="28"/>
          <w:szCs w:val="26"/>
          <w:lang w:val="en-US"/>
        </w:rPr>
        <w:t>which</w:t>
      </w:r>
      <w:r w:rsidRPr="002C1E76">
        <w:rPr>
          <w:sz w:val="28"/>
          <w:szCs w:val="26"/>
        </w:rPr>
        <w:t xml:space="preserve"> </w:t>
      </w:r>
      <w:r>
        <w:rPr>
          <w:sz w:val="28"/>
          <w:szCs w:val="26"/>
          <w:lang w:val="en-US"/>
        </w:rPr>
        <w:t>is</w:t>
      </w:r>
      <w:r w:rsidRPr="002C1E76">
        <w:rPr>
          <w:sz w:val="28"/>
          <w:szCs w:val="26"/>
        </w:rPr>
        <w:t xml:space="preserve"> </w:t>
      </w:r>
      <w:r>
        <w:rPr>
          <w:sz w:val="28"/>
          <w:szCs w:val="26"/>
          <w:lang w:val="en-US"/>
        </w:rPr>
        <w:t>UAH</w:t>
      </w:r>
      <w:r w:rsidRPr="002C1E76">
        <w:rPr>
          <w:sz w:val="28"/>
          <w:szCs w:val="26"/>
        </w:rPr>
        <w:t xml:space="preserve"> </w:t>
      </w:r>
      <w:r w:rsidR="000C4C40" w:rsidRPr="005F46FB">
        <w:rPr>
          <w:b/>
          <w:sz w:val="28"/>
          <w:szCs w:val="26"/>
        </w:rPr>
        <w:t>5</w:t>
      </w:r>
      <w:r w:rsidRPr="002C1E76">
        <w:rPr>
          <w:b/>
          <w:sz w:val="28"/>
          <w:szCs w:val="26"/>
        </w:rPr>
        <w:t>.</w:t>
      </w:r>
      <w:r w:rsidR="000C4C40" w:rsidRPr="005F46FB">
        <w:rPr>
          <w:b/>
          <w:sz w:val="28"/>
          <w:szCs w:val="26"/>
        </w:rPr>
        <w:t>8</w:t>
      </w:r>
      <w:r w:rsidR="000C4C40" w:rsidRPr="005F46FB">
        <w:rPr>
          <w:sz w:val="28"/>
          <w:szCs w:val="26"/>
        </w:rPr>
        <w:t> </w:t>
      </w:r>
      <w:r>
        <w:rPr>
          <w:sz w:val="28"/>
          <w:szCs w:val="26"/>
          <w:lang w:val="en-US"/>
        </w:rPr>
        <w:t>bn</w:t>
      </w:r>
      <w:r w:rsidRPr="002C1E76">
        <w:rPr>
          <w:sz w:val="28"/>
          <w:szCs w:val="26"/>
        </w:rPr>
        <w:t xml:space="preserve"> (</w:t>
      </w:r>
      <w:r w:rsidR="000C4C40" w:rsidRPr="005F46FB">
        <w:rPr>
          <w:b/>
          <w:sz w:val="28"/>
          <w:szCs w:val="26"/>
        </w:rPr>
        <w:t>47</w:t>
      </w:r>
      <w:r w:rsidRPr="002C1E76">
        <w:rPr>
          <w:b/>
          <w:sz w:val="28"/>
          <w:szCs w:val="26"/>
        </w:rPr>
        <w:t>.</w:t>
      </w:r>
      <w:r w:rsidR="000C4C40">
        <w:rPr>
          <w:b/>
          <w:sz w:val="28"/>
          <w:szCs w:val="26"/>
        </w:rPr>
        <w:t>4</w:t>
      </w:r>
      <w:r w:rsidRPr="002C1E76">
        <w:rPr>
          <w:b/>
          <w:sz w:val="28"/>
          <w:szCs w:val="26"/>
        </w:rPr>
        <w:t>%</w:t>
      </w:r>
      <w:r w:rsidRPr="002C1E76">
        <w:rPr>
          <w:sz w:val="28"/>
          <w:szCs w:val="26"/>
        </w:rPr>
        <w:t>)</w:t>
      </w:r>
      <w:r>
        <w:rPr>
          <w:sz w:val="28"/>
          <w:szCs w:val="26"/>
          <w:lang w:val="en-US"/>
        </w:rPr>
        <w:t xml:space="preserve"> higher compared to the same period of 2018</w:t>
      </w:r>
      <w:r w:rsidR="003A2363">
        <w:rPr>
          <w:sz w:val="28"/>
          <w:szCs w:val="26"/>
          <w:lang w:val="en-US"/>
        </w:rPr>
        <w:t>. This increase results from a change in the revenue distribution between the general and special fund (according to art. 14 of the Law on the State Budget for 2018, starting from January 01, 2018 the special fund of the state budget receives a part of the revenues from the excise tax and import duty on oil products and vehicles</w:t>
      </w:r>
      <w:r w:rsidR="000C4C40" w:rsidRPr="005F46FB">
        <w:rPr>
          <w:sz w:val="28"/>
          <w:szCs w:val="28"/>
        </w:rPr>
        <w:t>).</w:t>
      </w:r>
    </w:p>
    <w:p w:rsidR="000C4C40" w:rsidRPr="005F46FB" w:rsidRDefault="003A2363" w:rsidP="003A2363">
      <w:pPr>
        <w:pStyle w:val="2"/>
        <w:spacing w:after="120"/>
        <w:ind w:firstLine="0"/>
        <w:rPr>
          <w:szCs w:val="26"/>
        </w:rPr>
      </w:pPr>
      <w:r>
        <w:rPr>
          <w:b/>
          <w:szCs w:val="26"/>
          <w:lang w:val="en-US"/>
        </w:rPr>
        <w:t>The own revenues of organizations funded from the state budget</w:t>
      </w:r>
      <w:r w:rsidR="000C4C40" w:rsidRPr="005F46FB">
        <w:rPr>
          <w:szCs w:val="28"/>
        </w:rPr>
        <w:t xml:space="preserve"> </w:t>
      </w:r>
      <w:r>
        <w:rPr>
          <w:szCs w:val="28"/>
          <w:lang w:val="en-US"/>
        </w:rPr>
        <w:t xml:space="preserve">were equal to UAH </w:t>
      </w:r>
      <w:r w:rsidR="000C4C40" w:rsidRPr="005F46FB">
        <w:rPr>
          <w:b/>
          <w:szCs w:val="28"/>
        </w:rPr>
        <w:t>8</w:t>
      </w:r>
      <w:r>
        <w:rPr>
          <w:b/>
          <w:szCs w:val="28"/>
          <w:lang w:val="en-US"/>
        </w:rPr>
        <w:t>.</w:t>
      </w:r>
      <w:r w:rsidR="000C4C40" w:rsidRPr="005F46FB">
        <w:rPr>
          <w:b/>
          <w:szCs w:val="28"/>
        </w:rPr>
        <w:t xml:space="preserve">4 </w:t>
      </w:r>
      <w:r>
        <w:rPr>
          <w:szCs w:val="28"/>
          <w:lang w:val="en-US"/>
        </w:rPr>
        <w:t xml:space="preserve">bn, which accounts for </w:t>
      </w:r>
      <w:r w:rsidR="000C4C40" w:rsidRPr="005F46FB">
        <w:rPr>
          <w:b/>
          <w:szCs w:val="26"/>
        </w:rPr>
        <w:t>46</w:t>
      </w:r>
      <w:r>
        <w:rPr>
          <w:b/>
          <w:szCs w:val="26"/>
          <w:lang w:val="en-US"/>
        </w:rPr>
        <w:t>.</w:t>
      </w:r>
      <w:r w:rsidR="000C4C40">
        <w:rPr>
          <w:b/>
          <w:szCs w:val="26"/>
        </w:rPr>
        <w:t>6</w:t>
      </w:r>
      <w:r>
        <w:rPr>
          <w:b/>
          <w:szCs w:val="26"/>
          <w:lang w:val="en-US"/>
        </w:rPr>
        <w:t>%</w:t>
      </w:r>
      <w:r w:rsidR="000C4C40" w:rsidRPr="005F46FB">
        <w:rPr>
          <w:b/>
          <w:szCs w:val="26"/>
        </w:rPr>
        <w:t> </w:t>
      </w:r>
      <w:r>
        <w:rPr>
          <w:szCs w:val="26"/>
          <w:lang w:val="en-US"/>
        </w:rPr>
        <w:t>of the total revenues of the state budget’s special fund</w:t>
      </w:r>
      <w:r w:rsidR="000C4C40" w:rsidRPr="005F46FB">
        <w:rPr>
          <w:szCs w:val="26"/>
        </w:rPr>
        <w:t xml:space="preserve">. </w:t>
      </w:r>
      <w:r>
        <w:rPr>
          <w:szCs w:val="26"/>
          <w:lang w:val="en-US"/>
        </w:rPr>
        <w:t xml:space="preserve">Compared to the same year of the previous year, these revenues increased by UAH </w:t>
      </w:r>
      <w:r w:rsidR="000C4C40" w:rsidRPr="005F46FB">
        <w:rPr>
          <w:b/>
          <w:szCs w:val="26"/>
        </w:rPr>
        <w:t xml:space="preserve">1 </w:t>
      </w:r>
      <w:r>
        <w:rPr>
          <w:szCs w:val="26"/>
          <w:lang w:val="en-US"/>
        </w:rPr>
        <w:t>bn</w:t>
      </w:r>
      <w:r w:rsidR="000C4C40" w:rsidRPr="005F46FB">
        <w:rPr>
          <w:szCs w:val="26"/>
        </w:rPr>
        <w:t xml:space="preserve"> </w:t>
      </w:r>
      <w:r>
        <w:rPr>
          <w:szCs w:val="26"/>
          <w:lang w:val="en-US"/>
        </w:rPr>
        <w:t>(</w:t>
      </w:r>
      <w:r w:rsidR="000C4C40" w:rsidRPr="005F46FB">
        <w:rPr>
          <w:b/>
          <w:szCs w:val="26"/>
        </w:rPr>
        <w:t>13</w:t>
      </w:r>
      <w:r>
        <w:rPr>
          <w:b/>
          <w:szCs w:val="26"/>
          <w:lang w:val="en-US"/>
        </w:rPr>
        <w:t>.</w:t>
      </w:r>
      <w:r w:rsidR="000C4C40" w:rsidRPr="005F46FB">
        <w:rPr>
          <w:b/>
          <w:szCs w:val="26"/>
        </w:rPr>
        <w:t>7</w:t>
      </w:r>
      <w:r>
        <w:rPr>
          <w:b/>
          <w:szCs w:val="26"/>
          <w:lang w:val="en-US"/>
        </w:rPr>
        <w:t>%</w:t>
      </w:r>
      <w:r>
        <w:rPr>
          <w:szCs w:val="26"/>
          <w:lang w:val="en-US"/>
        </w:rPr>
        <w:t>)</w:t>
      </w:r>
      <w:r w:rsidR="000C4C40" w:rsidRPr="005F46FB">
        <w:rPr>
          <w:szCs w:val="26"/>
        </w:rPr>
        <w:t>.</w:t>
      </w:r>
    </w:p>
    <w:p w:rsidR="002D7A2A" w:rsidRPr="004661E6" w:rsidRDefault="002D7A2A" w:rsidP="002D7A2A"/>
    <w:p w:rsidR="00B51BA9" w:rsidRPr="004661E6" w:rsidRDefault="003A2363" w:rsidP="003A2363">
      <w:pPr>
        <w:pStyle w:val="2"/>
        <w:spacing w:after="120"/>
        <w:ind w:firstLine="0"/>
        <w:jc w:val="left"/>
        <w:rPr>
          <w:b/>
          <w:sz w:val="32"/>
          <w:szCs w:val="32"/>
          <w:u w:val="single"/>
        </w:rPr>
      </w:pPr>
      <w:r>
        <w:rPr>
          <w:b/>
          <w:sz w:val="32"/>
          <w:szCs w:val="32"/>
          <w:u w:val="single"/>
          <w:lang w:val="en-US"/>
        </w:rPr>
        <w:t>EXPENSES AND LOANS</w:t>
      </w:r>
    </w:p>
    <w:p w:rsidR="00B51BA9" w:rsidRPr="004661E6" w:rsidRDefault="001B6CEC" w:rsidP="001B6CEC">
      <w:pPr>
        <w:jc w:val="both"/>
        <w:rPr>
          <w:sz w:val="28"/>
          <w:szCs w:val="26"/>
        </w:rPr>
      </w:pPr>
      <w:r>
        <w:rPr>
          <w:sz w:val="28"/>
          <w:szCs w:val="26"/>
          <w:lang w:val="en-US"/>
        </w:rPr>
        <w:t xml:space="preserve">The total </w:t>
      </w:r>
      <w:r>
        <w:rPr>
          <w:b/>
          <w:sz w:val="28"/>
          <w:szCs w:val="26"/>
          <w:lang w:val="en-US"/>
        </w:rPr>
        <w:t>expenses of the consolidated budget of Ukraine</w:t>
      </w:r>
      <w:r w:rsidR="00B51BA9" w:rsidRPr="004661E6">
        <w:rPr>
          <w:b/>
          <w:sz w:val="28"/>
          <w:szCs w:val="26"/>
        </w:rPr>
        <w:t xml:space="preserve"> </w:t>
      </w:r>
      <w:r>
        <w:rPr>
          <w:sz w:val="28"/>
          <w:szCs w:val="26"/>
          <w:lang w:val="en-US"/>
        </w:rPr>
        <w:t xml:space="preserve">in Q1 of </w:t>
      </w:r>
      <w:r w:rsidR="00B51BA9" w:rsidRPr="004661E6">
        <w:rPr>
          <w:sz w:val="28"/>
          <w:szCs w:val="26"/>
        </w:rPr>
        <w:t>201</w:t>
      </w:r>
      <w:r w:rsidR="00B51BA9" w:rsidRPr="004661E6">
        <w:rPr>
          <w:sz w:val="28"/>
          <w:szCs w:val="26"/>
          <w:lang w:val="ru-RU"/>
        </w:rPr>
        <w:t>8</w:t>
      </w:r>
      <w:r w:rsidR="00B51BA9" w:rsidRPr="004661E6">
        <w:rPr>
          <w:sz w:val="28"/>
          <w:szCs w:val="26"/>
        </w:rPr>
        <w:t> </w:t>
      </w:r>
      <w:r>
        <w:rPr>
          <w:sz w:val="28"/>
          <w:szCs w:val="26"/>
          <w:lang w:val="en-US"/>
        </w:rPr>
        <w:t xml:space="preserve">amounted UAH </w:t>
      </w:r>
      <w:r w:rsidR="00B51BA9" w:rsidRPr="004661E6">
        <w:rPr>
          <w:b/>
          <w:bCs/>
          <w:sz w:val="28"/>
          <w:szCs w:val="28"/>
          <w:lang w:val="ru-RU" w:eastAsia="uk-UA"/>
        </w:rPr>
        <w:t>251</w:t>
      </w:r>
      <w:r>
        <w:rPr>
          <w:b/>
          <w:bCs/>
          <w:sz w:val="28"/>
          <w:szCs w:val="28"/>
          <w:lang w:val="en-US" w:eastAsia="uk-UA"/>
        </w:rPr>
        <w:t>.</w:t>
      </w:r>
      <w:r w:rsidR="00B51BA9" w:rsidRPr="004661E6">
        <w:rPr>
          <w:b/>
          <w:bCs/>
          <w:sz w:val="28"/>
          <w:szCs w:val="28"/>
          <w:lang w:val="ru-RU" w:eastAsia="uk-UA"/>
        </w:rPr>
        <w:t>9</w:t>
      </w:r>
      <w:r w:rsidR="00B51BA9" w:rsidRPr="004661E6">
        <w:rPr>
          <w:b/>
          <w:bCs/>
          <w:sz w:val="28"/>
          <w:szCs w:val="28"/>
          <w:lang w:eastAsia="uk-UA"/>
        </w:rPr>
        <w:t> </w:t>
      </w:r>
      <w:r>
        <w:rPr>
          <w:sz w:val="28"/>
          <w:szCs w:val="26"/>
          <w:lang w:val="en-US"/>
        </w:rPr>
        <w:t>bn</w:t>
      </w:r>
      <w:r w:rsidR="00B51BA9" w:rsidRPr="004661E6">
        <w:rPr>
          <w:sz w:val="28"/>
          <w:szCs w:val="26"/>
        </w:rPr>
        <w:t xml:space="preserve">, </w:t>
      </w:r>
      <w:r>
        <w:rPr>
          <w:sz w:val="28"/>
          <w:szCs w:val="26"/>
          <w:lang w:val="en-US"/>
        </w:rPr>
        <w:t xml:space="preserve">which is </w:t>
      </w:r>
      <w:r w:rsidR="00B51BA9" w:rsidRPr="004661E6">
        <w:rPr>
          <w:b/>
          <w:sz w:val="28"/>
          <w:szCs w:val="28"/>
        </w:rPr>
        <w:t>16</w:t>
      </w:r>
      <w:r>
        <w:rPr>
          <w:b/>
          <w:sz w:val="28"/>
          <w:szCs w:val="28"/>
          <w:lang w:val="en-US"/>
        </w:rPr>
        <w:t>.</w:t>
      </w:r>
      <w:r w:rsidR="00B51BA9" w:rsidRPr="004661E6">
        <w:rPr>
          <w:b/>
          <w:sz w:val="28"/>
          <w:szCs w:val="28"/>
        </w:rPr>
        <w:t>4</w:t>
      </w:r>
      <w:r>
        <w:rPr>
          <w:b/>
          <w:sz w:val="28"/>
          <w:szCs w:val="28"/>
          <w:lang w:val="en-US"/>
        </w:rPr>
        <w:t>%</w:t>
      </w:r>
      <w:r w:rsidR="00B51BA9" w:rsidRPr="004661E6">
        <w:rPr>
          <w:sz w:val="28"/>
          <w:szCs w:val="26"/>
        </w:rPr>
        <w:t xml:space="preserve"> </w:t>
      </w:r>
      <w:r>
        <w:rPr>
          <w:sz w:val="28"/>
          <w:szCs w:val="26"/>
          <w:lang w:val="en-US"/>
        </w:rPr>
        <w:t>or</w:t>
      </w:r>
      <w:r w:rsidR="00B51BA9" w:rsidRPr="004661E6">
        <w:rPr>
          <w:sz w:val="28"/>
          <w:szCs w:val="26"/>
        </w:rPr>
        <w:t xml:space="preserve"> </w:t>
      </w:r>
      <w:r>
        <w:rPr>
          <w:sz w:val="28"/>
          <w:szCs w:val="26"/>
          <w:lang w:val="en-US"/>
        </w:rPr>
        <w:t xml:space="preserve">UAH </w:t>
      </w:r>
      <w:r w:rsidR="00B51BA9" w:rsidRPr="004661E6">
        <w:rPr>
          <w:b/>
          <w:bCs/>
          <w:sz w:val="28"/>
          <w:szCs w:val="28"/>
          <w:lang w:eastAsia="uk-UA"/>
        </w:rPr>
        <w:t>35</w:t>
      </w:r>
      <w:r>
        <w:rPr>
          <w:b/>
          <w:bCs/>
          <w:sz w:val="28"/>
          <w:szCs w:val="28"/>
          <w:lang w:val="en-US" w:eastAsia="uk-UA"/>
        </w:rPr>
        <w:t>.</w:t>
      </w:r>
      <w:r w:rsidR="00B51BA9" w:rsidRPr="004661E6">
        <w:rPr>
          <w:b/>
          <w:bCs/>
          <w:sz w:val="28"/>
          <w:szCs w:val="28"/>
          <w:lang w:eastAsia="uk-UA"/>
        </w:rPr>
        <w:t>4 </w:t>
      </w:r>
      <w:r>
        <w:rPr>
          <w:sz w:val="28"/>
          <w:szCs w:val="26"/>
          <w:lang w:val="en-US"/>
        </w:rPr>
        <w:t xml:space="preserve">bn higher compared to Q1 of </w:t>
      </w:r>
      <w:r w:rsidR="00B51BA9" w:rsidRPr="004661E6">
        <w:rPr>
          <w:sz w:val="28"/>
          <w:szCs w:val="26"/>
        </w:rPr>
        <w:t>2017.</w:t>
      </w:r>
    </w:p>
    <w:p w:rsidR="00BC58CE" w:rsidRPr="004661E6" w:rsidRDefault="001B6CEC" w:rsidP="001B6CEC">
      <w:pPr>
        <w:jc w:val="both"/>
        <w:rPr>
          <w:sz w:val="28"/>
          <w:szCs w:val="28"/>
        </w:rPr>
      </w:pPr>
      <w:r>
        <w:rPr>
          <w:sz w:val="28"/>
          <w:szCs w:val="26"/>
          <w:lang w:val="en-US"/>
        </w:rPr>
        <w:t xml:space="preserve">The highest </w:t>
      </w:r>
      <w:r w:rsidR="00455942">
        <w:rPr>
          <w:sz w:val="28"/>
          <w:szCs w:val="26"/>
          <w:lang w:val="en-US"/>
        </w:rPr>
        <w:t xml:space="preserve">expenses in the spending structure of the </w:t>
      </w:r>
      <w:r w:rsidR="00455942" w:rsidRPr="00455942">
        <w:rPr>
          <w:b/>
          <w:sz w:val="28"/>
          <w:szCs w:val="26"/>
          <w:lang w:val="en-US"/>
        </w:rPr>
        <w:t>consolidated budget of Ukraine</w:t>
      </w:r>
      <w:r w:rsidR="00455942">
        <w:rPr>
          <w:sz w:val="28"/>
          <w:szCs w:val="26"/>
          <w:lang w:val="en-US"/>
        </w:rPr>
        <w:t xml:space="preserve"> account for social welfare and social protection </w:t>
      </w:r>
      <w:r w:rsidR="00BC58CE" w:rsidRPr="004661E6">
        <w:rPr>
          <w:sz w:val="28"/>
          <w:szCs w:val="28"/>
        </w:rPr>
        <w:t>(</w:t>
      </w:r>
      <w:r w:rsidR="00BC58CE" w:rsidRPr="004661E6">
        <w:rPr>
          <w:b/>
          <w:sz w:val="28"/>
          <w:szCs w:val="28"/>
        </w:rPr>
        <w:t>34</w:t>
      </w:r>
      <w:r w:rsidR="00455942">
        <w:rPr>
          <w:b/>
          <w:sz w:val="28"/>
          <w:szCs w:val="28"/>
          <w:lang w:val="en-US"/>
        </w:rPr>
        <w:t>.</w:t>
      </w:r>
      <w:r w:rsidR="00BC58CE" w:rsidRPr="004661E6">
        <w:rPr>
          <w:b/>
          <w:sz w:val="28"/>
          <w:szCs w:val="28"/>
        </w:rPr>
        <w:t>5</w:t>
      </w:r>
      <w:r w:rsidR="00455942">
        <w:rPr>
          <w:b/>
          <w:sz w:val="28"/>
          <w:szCs w:val="28"/>
          <w:lang w:val="en-US"/>
        </w:rPr>
        <w:t>%</w:t>
      </w:r>
      <w:r w:rsidR="00BC58CE" w:rsidRPr="004661E6">
        <w:rPr>
          <w:sz w:val="28"/>
          <w:szCs w:val="28"/>
        </w:rPr>
        <w:t xml:space="preserve">), </w:t>
      </w:r>
      <w:r w:rsidR="00455942">
        <w:rPr>
          <w:sz w:val="28"/>
          <w:szCs w:val="28"/>
          <w:lang w:val="en-US"/>
        </w:rPr>
        <w:t>education</w:t>
      </w:r>
      <w:r w:rsidR="00BC58CE" w:rsidRPr="004661E6">
        <w:rPr>
          <w:sz w:val="28"/>
          <w:szCs w:val="28"/>
        </w:rPr>
        <w:t xml:space="preserve"> (</w:t>
      </w:r>
      <w:r w:rsidR="00BC58CE" w:rsidRPr="004661E6">
        <w:rPr>
          <w:b/>
          <w:sz w:val="28"/>
          <w:szCs w:val="28"/>
        </w:rPr>
        <w:t>17</w:t>
      </w:r>
      <w:r w:rsidR="00455942">
        <w:rPr>
          <w:b/>
          <w:sz w:val="28"/>
          <w:szCs w:val="28"/>
          <w:lang w:val="en-US"/>
        </w:rPr>
        <w:t>.</w:t>
      </w:r>
      <w:r w:rsidR="00BC58CE" w:rsidRPr="004661E6">
        <w:rPr>
          <w:b/>
          <w:sz w:val="28"/>
          <w:szCs w:val="28"/>
        </w:rPr>
        <w:t>7</w:t>
      </w:r>
      <w:r w:rsidR="00455942">
        <w:rPr>
          <w:b/>
          <w:sz w:val="28"/>
          <w:szCs w:val="28"/>
          <w:lang w:val="en-US"/>
        </w:rPr>
        <w:t>%</w:t>
      </w:r>
      <w:r w:rsidR="00BC58CE" w:rsidRPr="004661E6">
        <w:rPr>
          <w:sz w:val="28"/>
          <w:szCs w:val="28"/>
        </w:rPr>
        <w:t xml:space="preserve">), </w:t>
      </w:r>
      <w:r w:rsidR="00455942">
        <w:rPr>
          <w:sz w:val="28"/>
          <w:szCs w:val="28"/>
          <w:lang w:val="en-US"/>
        </w:rPr>
        <w:t>debt re-payment</w:t>
      </w:r>
      <w:r w:rsidR="00BC58CE" w:rsidRPr="004661E6">
        <w:rPr>
          <w:sz w:val="28"/>
          <w:szCs w:val="28"/>
        </w:rPr>
        <w:t xml:space="preserve"> (</w:t>
      </w:r>
      <w:r w:rsidR="00BC58CE" w:rsidRPr="004661E6">
        <w:rPr>
          <w:b/>
          <w:sz w:val="28"/>
          <w:szCs w:val="28"/>
        </w:rPr>
        <w:t>12</w:t>
      </w:r>
      <w:r w:rsidR="00455942">
        <w:rPr>
          <w:b/>
          <w:sz w:val="28"/>
          <w:szCs w:val="28"/>
          <w:lang w:val="en-US"/>
        </w:rPr>
        <w:t>%</w:t>
      </w:r>
      <w:r w:rsidR="00BC58CE" w:rsidRPr="004661E6">
        <w:rPr>
          <w:sz w:val="28"/>
          <w:szCs w:val="28"/>
        </w:rPr>
        <w:t xml:space="preserve">), </w:t>
      </w:r>
      <w:r w:rsidR="00455942">
        <w:rPr>
          <w:sz w:val="28"/>
          <w:szCs w:val="28"/>
          <w:lang w:val="en-US"/>
        </w:rPr>
        <w:t xml:space="preserve">public order/security/judicial power </w:t>
      </w:r>
      <w:r w:rsidR="00371183" w:rsidRPr="004661E6">
        <w:rPr>
          <w:sz w:val="28"/>
          <w:szCs w:val="28"/>
        </w:rPr>
        <w:t>(</w:t>
      </w:r>
      <w:r w:rsidR="00371183" w:rsidRPr="004661E6">
        <w:rPr>
          <w:b/>
          <w:sz w:val="28"/>
          <w:szCs w:val="28"/>
        </w:rPr>
        <w:t>8</w:t>
      </w:r>
      <w:r w:rsidR="00455942">
        <w:rPr>
          <w:b/>
          <w:sz w:val="28"/>
          <w:szCs w:val="28"/>
          <w:lang w:val="en-US"/>
        </w:rPr>
        <w:t>.</w:t>
      </w:r>
      <w:r w:rsidR="00371183" w:rsidRPr="004661E6">
        <w:rPr>
          <w:b/>
          <w:sz w:val="28"/>
          <w:szCs w:val="28"/>
        </w:rPr>
        <w:t>5</w:t>
      </w:r>
      <w:r w:rsidR="00455942">
        <w:rPr>
          <w:b/>
          <w:sz w:val="28"/>
          <w:szCs w:val="28"/>
          <w:lang w:val="en-US"/>
        </w:rPr>
        <w:t>%</w:t>
      </w:r>
      <w:r w:rsidR="00371183" w:rsidRPr="004661E6">
        <w:rPr>
          <w:sz w:val="28"/>
          <w:szCs w:val="28"/>
        </w:rPr>
        <w:t xml:space="preserve">) </w:t>
      </w:r>
      <w:r w:rsidR="00455942">
        <w:rPr>
          <w:sz w:val="28"/>
          <w:szCs w:val="28"/>
          <w:lang w:val="en-US"/>
        </w:rPr>
        <w:t>and healthcare</w:t>
      </w:r>
      <w:r w:rsidR="00371183" w:rsidRPr="004661E6">
        <w:rPr>
          <w:sz w:val="28"/>
          <w:szCs w:val="28"/>
        </w:rPr>
        <w:t xml:space="preserve"> (</w:t>
      </w:r>
      <w:r w:rsidR="00371183" w:rsidRPr="004661E6">
        <w:rPr>
          <w:b/>
          <w:sz w:val="28"/>
          <w:szCs w:val="28"/>
        </w:rPr>
        <w:t>8</w:t>
      </w:r>
      <w:r w:rsidR="00455942">
        <w:rPr>
          <w:b/>
          <w:sz w:val="28"/>
          <w:szCs w:val="28"/>
          <w:lang w:val="en-US"/>
        </w:rPr>
        <w:t>.</w:t>
      </w:r>
      <w:r w:rsidR="00371183" w:rsidRPr="004661E6">
        <w:rPr>
          <w:b/>
          <w:sz w:val="28"/>
          <w:szCs w:val="28"/>
        </w:rPr>
        <w:t>2</w:t>
      </w:r>
      <w:r w:rsidR="00455942">
        <w:rPr>
          <w:b/>
          <w:sz w:val="28"/>
          <w:szCs w:val="28"/>
          <w:lang w:val="en-US"/>
        </w:rPr>
        <w:t>%</w:t>
      </w:r>
      <w:r w:rsidR="00371183" w:rsidRPr="004661E6">
        <w:rPr>
          <w:sz w:val="28"/>
          <w:szCs w:val="28"/>
        </w:rPr>
        <w:t>).</w:t>
      </w:r>
    </w:p>
    <w:p w:rsidR="00B51BA9" w:rsidRPr="004661E6" w:rsidRDefault="00455942" w:rsidP="00455942">
      <w:pPr>
        <w:jc w:val="both"/>
        <w:rPr>
          <w:sz w:val="28"/>
          <w:szCs w:val="28"/>
        </w:rPr>
      </w:pPr>
      <w:r>
        <w:rPr>
          <w:b/>
          <w:sz w:val="28"/>
          <w:szCs w:val="28"/>
          <w:lang w:val="en-US"/>
        </w:rPr>
        <w:t xml:space="preserve">The expenses of the state budget of Ukraine </w:t>
      </w:r>
      <w:r>
        <w:rPr>
          <w:sz w:val="28"/>
          <w:szCs w:val="28"/>
          <w:lang w:val="en-US"/>
        </w:rPr>
        <w:t xml:space="preserve">in Q1 of </w:t>
      </w:r>
      <w:r w:rsidR="00B51BA9" w:rsidRPr="004661E6">
        <w:rPr>
          <w:sz w:val="28"/>
          <w:szCs w:val="26"/>
        </w:rPr>
        <w:t>2018 </w:t>
      </w:r>
      <w:r>
        <w:rPr>
          <w:sz w:val="28"/>
          <w:szCs w:val="26"/>
          <w:lang w:val="en-US"/>
        </w:rPr>
        <w:t xml:space="preserve">amounted UAH </w:t>
      </w:r>
      <w:r w:rsidR="00B51BA9" w:rsidRPr="004661E6">
        <w:rPr>
          <w:b/>
          <w:bCs/>
          <w:iCs/>
          <w:sz w:val="28"/>
          <w:szCs w:val="28"/>
          <w:lang w:eastAsia="uk-UA"/>
        </w:rPr>
        <w:t>214</w:t>
      </w:r>
      <w:r>
        <w:rPr>
          <w:b/>
          <w:bCs/>
          <w:iCs/>
          <w:sz w:val="28"/>
          <w:szCs w:val="28"/>
          <w:lang w:val="en-US" w:eastAsia="uk-UA"/>
        </w:rPr>
        <w:t>.</w:t>
      </w:r>
      <w:r w:rsidR="00B51BA9" w:rsidRPr="004661E6">
        <w:rPr>
          <w:b/>
          <w:bCs/>
          <w:iCs/>
          <w:sz w:val="28"/>
          <w:szCs w:val="28"/>
          <w:lang w:eastAsia="uk-UA"/>
        </w:rPr>
        <w:t>3 </w:t>
      </w:r>
      <w:r>
        <w:rPr>
          <w:sz w:val="28"/>
          <w:szCs w:val="28"/>
          <w:lang w:val="en-US"/>
        </w:rPr>
        <w:t>bn</w:t>
      </w:r>
      <w:r w:rsidR="00B51BA9" w:rsidRPr="004661E6">
        <w:rPr>
          <w:sz w:val="28"/>
          <w:szCs w:val="28"/>
        </w:rPr>
        <w:t xml:space="preserve">, </w:t>
      </w:r>
      <w:r>
        <w:rPr>
          <w:sz w:val="28"/>
          <w:szCs w:val="28"/>
          <w:lang w:val="en-US"/>
        </w:rPr>
        <w:t xml:space="preserve">which is </w:t>
      </w:r>
      <w:r w:rsidR="00B51BA9" w:rsidRPr="004661E6">
        <w:rPr>
          <w:b/>
          <w:sz w:val="28"/>
          <w:szCs w:val="28"/>
        </w:rPr>
        <w:t>16</w:t>
      </w:r>
      <w:r>
        <w:rPr>
          <w:b/>
          <w:sz w:val="28"/>
          <w:szCs w:val="28"/>
          <w:lang w:val="en-US"/>
        </w:rPr>
        <w:t>.</w:t>
      </w:r>
      <w:r w:rsidR="00B51BA9" w:rsidRPr="004661E6">
        <w:rPr>
          <w:b/>
          <w:sz w:val="28"/>
          <w:szCs w:val="28"/>
        </w:rPr>
        <w:t>1</w:t>
      </w:r>
      <w:r>
        <w:rPr>
          <w:b/>
          <w:sz w:val="28"/>
          <w:szCs w:val="28"/>
          <w:lang w:val="en-US"/>
        </w:rPr>
        <w:t>%</w:t>
      </w:r>
      <w:r w:rsidR="00B51BA9" w:rsidRPr="004661E6">
        <w:rPr>
          <w:b/>
          <w:sz w:val="28"/>
          <w:szCs w:val="28"/>
        </w:rPr>
        <w:t> </w:t>
      </w:r>
      <w:r>
        <w:rPr>
          <w:sz w:val="28"/>
          <w:szCs w:val="28"/>
          <w:lang w:val="en-US"/>
        </w:rPr>
        <w:t>(UAH</w:t>
      </w:r>
      <w:r w:rsidR="00B51BA9" w:rsidRPr="004661E6">
        <w:rPr>
          <w:sz w:val="28"/>
          <w:szCs w:val="28"/>
        </w:rPr>
        <w:t xml:space="preserve"> </w:t>
      </w:r>
      <w:r w:rsidR="00B51BA9" w:rsidRPr="004661E6">
        <w:rPr>
          <w:b/>
          <w:sz w:val="28"/>
          <w:szCs w:val="28"/>
        </w:rPr>
        <w:t>29</w:t>
      </w:r>
      <w:r>
        <w:rPr>
          <w:b/>
          <w:sz w:val="28"/>
          <w:szCs w:val="28"/>
          <w:lang w:val="en-US"/>
        </w:rPr>
        <w:t>.</w:t>
      </w:r>
      <w:r w:rsidR="00B51BA9" w:rsidRPr="004661E6">
        <w:rPr>
          <w:b/>
          <w:sz w:val="28"/>
          <w:szCs w:val="28"/>
        </w:rPr>
        <w:t>7</w:t>
      </w:r>
      <w:r w:rsidR="00B51BA9" w:rsidRPr="004661E6">
        <w:rPr>
          <w:b/>
          <w:iCs/>
          <w:sz w:val="28"/>
          <w:szCs w:val="28"/>
          <w:lang w:eastAsia="uk-UA"/>
        </w:rPr>
        <w:t> </w:t>
      </w:r>
      <w:r>
        <w:rPr>
          <w:sz w:val="28"/>
          <w:szCs w:val="28"/>
          <w:lang w:val="en-US"/>
        </w:rPr>
        <w:t xml:space="preserve">bn) higher compared to Q1 of </w:t>
      </w:r>
      <w:r w:rsidR="00B51BA9" w:rsidRPr="004661E6">
        <w:rPr>
          <w:sz w:val="28"/>
          <w:szCs w:val="28"/>
        </w:rPr>
        <w:t>2017.</w:t>
      </w:r>
    </w:p>
    <w:p w:rsidR="00371183" w:rsidRPr="004661E6" w:rsidRDefault="00204289" w:rsidP="00455942">
      <w:pPr>
        <w:jc w:val="both"/>
        <w:rPr>
          <w:sz w:val="28"/>
          <w:szCs w:val="28"/>
        </w:rPr>
      </w:pPr>
      <w:r>
        <w:rPr>
          <w:sz w:val="28"/>
          <w:szCs w:val="28"/>
          <w:lang w:val="en-US"/>
        </w:rPr>
        <w:t xml:space="preserve">The highest shares in the spending structure of the </w:t>
      </w:r>
      <w:r w:rsidRPr="00204289">
        <w:rPr>
          <w:b/>
          <w:sz w:val="28"/>
          <w:szCs w:val="28"/>
          <w:lang w:val="en-US"/>
        </w:rPr>
        <w:t>state budget of Ukraine</w:t>
      </w:r>
      <w:r>
        <w:rPr>
          <w:sz w:val="28"/>
          <w:szCs w:val="28"/>
          <w:lang w:val="en-US"/>
        </w:rPr>
        <w:t xml:space="preserve"> were as follows</w:t>
      </w:r>
      <w:r w:rsidR="00371183" w:rsidRPr="004661E6">
        <w:rPr>
          <w:sz w:val="28"/>
          <w:szCs w:val="28"/>
        </w:rPr>
        <w:t>:</w:t>
      </w:r>
    </w:p>
    <w:p w:rsidR="00371183" w:rsidRPr="004661E6" w:rsidRDefault="00204289" w:rsidP="00544AC9">
      <w:pPr>
        <w:pStyle w:val="af4"/>
        <w:numPr>
          <w:ilvl w:val="0"/>
          <w:numId w:val="16"/>
        </w:numPr>
        <w:ind w:left="709" w:hanging="283"/>
        <w:jc w:val="both"/>
        <w:rPr>
          <w:sz w:val="28"/>
          <w:szCs w:val="28"/>
        </w:rPr>
      </w:pPr>
      <w:r>
        <w:rPr>
          <w:sz w:val="28"/>
          <w:szCs w:val="28"/>
          <w:lang w:val="en-US"/>
        </w:rPr>
        <w:t>Interbudgetary transfers</w:t>
      </w:r>
      <w:r w:rsidR="00371183" w:rsidRPr="004661E6">
        <w:rPr>
          <w:sz w:val="28"/>
          <w:szCs w:val="28"/>
        </w:rPr>
        <w:t xml:space="preserve"> – </w:t>
      </w:r>
      <w:r w:rsidR="00371183" w:rsidRPr="004661E6">
        <w:rPr>
          <w:b/>
          <w:sz w:val="28"/>
          <w:szCs w:val="28"/>
        </w:rPr>
        <w:t>39</w:t>
      </w:r>
      <w:r>
        <w:rPr>
          <w:b/>
          <w:sz w:val="28"/>
          <w:szCs w:val="28"/>
          <w:lang w:val="en-US"/>
        </w:rPr>
        <w:t>.</w:t>
      </w:r>
      <w:r w:rsidR="00371183" w:rsidRPr="004661E6">
        <w:rPr>
          <w:b/>
          <w:sz w:val="28"/>
          <w:szCs w:val="28"/>
        </w:rPr>
        <w:t>2</w:t>
      </w:r>
      <w:r>
        <w:rPr>
          <w:b/>
          <w:sz w:val="28"/>
          <w:szCs w:val="28"/>
          <w:lang w:val="en-US"/>
        </w:rPr>
        <w:t>%</w:t>
      </w:r>
      <w:r w:rsidR="00371183" w:rsidRPr="004661E6">
        <w:rPr>
          <w:sz w:val="28"/>
          <w:szCs w:val="28"/>
        </w:rPr>
        <w:t>;</w:t>
      </w:r>
    </w:p>
    <w:p w:rsidR="00371183" w:rsidRPr="004661E6" w:rsidRDefault="00204289" w:rsidP="00544AC9">
      <w:pPr>
        <w:pStyle w:val="af4"/>
        <w:numPr>
          <w:ilvl w:val="0"/>
          <w:numId w:val="16"/>
        </w:numPr>
        <w:ind w:left="709" w:hanging="283"/>
        <w:jc w:val="both"/>
        <w:rPr>
          <w:sz w:val="28"/>
          <w:szCs w:val="28"/>
        </w:rPr>
      </w:pPr>
      <w:r>
        <w:rPr>
          <w:sz w:val="28"/>
          <w:szCs w:val="28"/>
          <w:lang w:val="en-US"/>
        </w:rPr>
        <w:lastRenderedPageBreak/>
        <w:t>Social welfare and social protection</w:t>
      </w:r>
      <w:r w:rsidR="00371183" w:rsidRPr="004661E6">
        <w:rPr>
          <w:sz w:val="28"/>
          <w:szCs w:val="28"/>
        </w:rPr>
        <w:t xml:space="preserve"> – </w:t>
      </w:r>
      <w:r w:rsidR="00371183" w:rsidRPr="004661E6">
        <w:rPr>
          <w:b/>
          <w:sz w:val="28"/>
          <w:szCs w:val="28"/>
        </w:rPr>
        <w:t>17</w:t>
      </w:r>
      <w:r>
        <w:rPr>
          <w:b/>
          <w:sz w:val="28"/>
          <w:szCs w:val="28"/>
          <w:lang w:val="en-US"/>
        </w:rPr>
        <w:t>.</w:t>
      </w:r>
      <w:r w:rsidR="00371183" w:rsidRPr="004661E6">
        <w:rPr>
          <w:b/>
          <w:sz w:val="28"/>
          <w:szCs w:val="28"/>
        </w:rPr>
        <w:t>4</w:t>
      </w:r>
      <w:r>
        <w:rPr>
          <w:b/>
          <w:sz w:val="28"/>
          <w:szCs w:val="28"/>
          <w:lang w:val="en-US"/>
        </w:rPr>
        <w:t>%</w:t>
      </w:r>
      <w:r w:rsidR="00371183" w:rsidRPr="004661E6">
        <w:rPr>
          <w:sz w:val="28"/>
          <w:szCs w:val="28"/>
        </w:rPr>
        <w:t>;</w:t>
      </w:r>
    </w:p>
    <w:p w:rsidR="00371183" w:rsidRPr="004661E6" w:rsidRDefault="00204289" w:rsidP="009C7A1A">
      <w:pPr>
        <w:pStyle w:val="af4"/>
        <w:numPr>
          <w:ilvl w:val="0"/>
          <w:numId w:val="16"/>
        </w:numPr>
        <w:ind w:left="709" w:hanging="283"/>
        <w:jc w:val="both"/>
        <w:rPr>
          <w:sz w:val="28"/>
          <w:szCs w:val="28"/>
        </w:rPr>
      </w:pPr>
      <w:r>
        <w:rPr>
          <w:sz w:val="28"/>
          <w:szCs w:val="28"/>
          <w:lang w:val="en-US"/>
        </w:rPr>
        <w:t>Debt re-payment</w:t>
      </w:r>
      <w:r w:rsidR="00371183" w:rsidRPr="004661E6">
        <w:rPr>
          <w:sz w:val="28"/>
          <w:szCs w:val="28"/>
        </w:rPr>
        <w:t xml:space="preserve"> – </w:t>
      </w:r>
      <w:r w:rsidR="00371183" w:rsidRPr="004661E6">
        <w:rPr>
          <w:b/>
          <w:sz w:val="28"/>
          <w:szCs w:val="28"/>
        </w:rPr>
        <w:t>14</w:t>
      </w:r>
      <w:r>
        <w:rPr>
          <w:b/>
          <w:sz w:val="28"/>
          <w:szCs w:val="28"/>
          <w:lang w:val="en-US"/>
        </w:rPr>
        <w:t>.</w:t>
      </w:r>
      <w:r w:rsidR="00371183" w:rsidRPr="004661E6">
        <w:rPr>
          <w:b/>
          <w:sz w:val="28"/>
          <w:szCs w:val="28"/>
        </w:rPr>
        <w:t>1</w:t>
      </w:r>
      <w:r>
        <w:rPr>
          <w:b/>
          <w:sz w:val="28"/>
          <w:szCs w:val="28"/>
          <w:lang w:val="en-US"/>
        </w:rPr>
        <w:t>%</w:t>
      </w:r>
      <w:r w:rsidR="00371183" w:rsidRPr="004661E6">
        <w:rPr>
          <w:sz w:val="28"/>
          <w:szCs w:val="28"/>
        </w:rPr>
        <w:t>;</w:t>
      </w:r>
    </w:p>
    <w:p w:rsidR="00371183" w:rsidRPr="004661E6" w:rsidRDefault="00204289" w:rsidP="009C7A1A">
      <w:pPr>
        <w:pStyle w:val="af4"/>
        <w:numPr>
          <w:ilvl w:val="0"/>
          <w:numId w:val="16"/>
        </w:numPr>
        <w:ind w:left="709" w:hanging="283"/>
        <w:jc w:val="both"/>
        <w:rPr>
          <w:sz w:val="28"/>
          <w:szCs w:val="28"/>
        </w:rPr>
      </w:pPr>
      <w:r>
        <w:rPr>
          <w:sz w:val="28"/>
          <w:szCs w:val="28"/>
          <w:lang w:val="en-US"/>
        </w:rPr>
        <w:t>Public order, security and judicial power</w:t>
      </w:r>
      <w:r w:rsidR="00371183" w:rsidRPr="004661E6">
        <w:rPr>
          <w:sz w:val="28"/>
          <w:szCs w:val="28"/>
        </w:rPr>
        <w:t xml:space="preserve"> – </w:t>
      </w:r>
      <w:r w:rsidR="00371183" w:rsidRPr="004661E6">
        <w:rPr>
          <w:b/>
          <w:sz w:val="28"/>
          <w:szCs w:val="28"/>
        </w:rPr>
        <w:t>9</w:t>
      </w:r>
      <w:r>
        <w:rPr>
          <w:b/>
          <w:sz w:val="28"/>
          <w:szCs w:val="28"/>
          <w:lang w:val="en-US"/>
        </w:rPr>
        <w:t>.</w:t>
      </w:r>
      <w:r w:rsidR="00371183" w:rsidRPr="004661E6">
        <w:rPr>
          <w:b/>
          <w:sz w:val="28"/>
          <w:szCs w:val="28"/>
        </w:rPr>
        <w:t>9</w:t>
      </w:r>
      <w:r>
        <w:rPr>
          <w:b/>
          <w:sz w:val="28"/>
          <w:szCs w:val="28"/>
          <w:lang w:val="en-US"/>
        </w:rPr>
        <w:t>%</w:t>
      </w:r>
      <w:r w:rsidR="00371183" w:rsidRPr="004661E6">
        <w:rPr>
          <w:sz w:val="28"/>
          <w:szCs w:val="28"/>
        </w:rPr>
        <w:t>.</w:t>
      </w:r>
    </w:p>
    <w:p w:rsidR="00B51BA9" w:rsidRDefault="0009727F" w:rsidP="00204289">
      <w:pPr>
        <w:jc w:val="both"/>
        <w:rPr>
          <w:sz w:val="28"/>
          <w:szCs w:val="28"/>
        </w:rPr>
      </w:pPr>
      <w:r>
        <w:rPr>
          <w:b/>
          <w:sz w:val="28"/>
          <w:szCs w:val="28"/>
          <w:lang w:val="en-US"/>
        </w:rPr>
        <w:t>The expenses of the general fund</w:t>
      </w:r>
      <w:r w:rsidR="00B51BA9" w:rsidRPr="004661E6">
        <w:rPr>
          <w:sz w:val="28"/>
          <w:szCs w:val="28"/>
        </w:rPr>
        <w:t xml:space="preserve"> </w:t>
      </w:r>
      <w:r>
        <w:rPr>
          <w:sz w:val="28"/>
          <w:szCs w:val="28"/>
          <w:lang w:val="en-US"/>
        </w:rPr>
        <w:t xml:space="preserve">of the state budget in Q1 of </w:t>
      </w:r>
      <w:r w:rsidR="00B51BA9" w:rsidRPr="004661E6">
        <w:rPr>
          <w:sz w:val="28"/>
          <w:szCs w:val="26"/>
        </w:rPr>
        <w:t>2018 </w:t>
      </w:r>
      <w:r>
        <w:rPr>
          <w:sz w:val="28"/>
          <w:szCs w:val="26"/>
          <w:lang w:val="en-US"/>
        </w:rPr>
        <w:t xml:space="preserve">amounted UAH </w:t>
      </w:r>
      <w:r w:rsidR="00B51BA9" w:rsidRPr="004661E6">
        <w:rPr>
          <w:b/>
          <w:iCs/>
          <w:sz w:val="28"/>
          <w:szCs w:val="28"/>
          <w:lang w:eastAsia="uk-UA"/>
        </w:rPr>
        <w:t>202 </w:t>
      </w:r>
      <w:r>
        <w:rPr>
          <w:sz w:val="28"/>
          <w:szCs w:val="28"/>
          <w:lang w:val="en-US"/>
        </w:rPr>
        <w:t>bn</w:t>
      </w:r>
      <w:r w:rsidR="00B51BA9" w:rsidRPr="004661E6">
        <w:rPr>
          <w:sz w:val="28"/>
          <w:szCs w:val="28"/>
        </w:rPr>
        <w:t xml:space="preserve">, </w:t>
      </w:r>
      <w:r>
        <w:rPr>
          <w:sz w:val="28"/>
          <w:szCs w:val="28"/>
          <w:lang w:val="en-US"/>
        </w:rPr>
        <w:t xml:space="preserve">which is UAH </w:t>
      </w:r>
      <w:r w:rsidRPr="0009727F">
        <w:rPr>
          <w:b/>
          <w:sz w:val="28"/>
          <w:szCs w:val="28"/>
          <w:lang w:val="en-US"/>
        </w:rPr>
        <w:t>26.2</w:t>
      </w:r>
      <w:r>
        <w:rPr>
          <w:sz w:val="28"/>
          <w:szCs w:val="28"/>
          <w:lang w:val="en-US"/>
        </w:rPr>
        <w:t xml:space="preserve"> bn higher compared to Q1 of 2017</w:t>
      </w:r>
      <w:r w:rsidR="00B51BA9" w:rsidRPr="004661E6">
        <w:rPr>
          <w:sz w:val="28"/>
          <w:szCs w:val="28"/>
        </w:rPr>
        <w:t xml:space="preserve">. </w:t>
      </w:r>
    </w:p>
    <w:p w:rsidR="00544AC9" w:rsidRPr="00E8236F" w:rsidRDefault="0009727F" w:rsidP="0009727F">
      <w:pPr>
        <w:keepNext/>
        <w:ind w:right="-1"/>
        <w:jc w:val="both"/>
        <w:rPr>
          <w:sz w:val="28"/>
          <w:szCs w:val="28"/>
        </w:rPr>
      </w:pPr>
      <w:r>
        <w:rPr>
          <w:sz w:val="28"/>
          <w:szCs w:val="28"/>
          <w:lang w:val="en-US"/>
        </w:rPr>
        <w:t xml:space="preserve">The dynamics of the expenses of the state budget’s </w:t>
      </w:r>
      <w:r w:rsidRPr="0009727F">
        <w:rPr>
          <w:b/>
          <w:sz w:val="28"/>
          <w:szCs w:val="28"/>
          <w:lang w:val="en-US"/>
        </w:rPr>
        <w:t>general fund</w:t>
      </w:r>
      <w:r>
        <w:rPr>
          <w:sz w:val="28"/>
          <w:szCs w:val="28"/>
          <w:lang w:val="en-US"/>
        </w:rPr>
        <w:t xml:space="preserve"> was as follows</w:t>
      </w:r>
      <w:r w:rsidR="00544AC9" w:rsidRPr="00E8236F">
        <w:rPr>
          <w:sz w:val="28"/>
          <w:szCs w:val="28"/>
        </w:rPr>
        <w:t>:</w:t>
      </w:r>
    </w:p>
    <w:p w:rsidR="00544AC9" w:rsidRPr="00E8236F" w:rsidRDefault="0009727F" w:rsidP="00544AC9">
      <w:pPr>
        <w:pStyle w:val="af4"/>
        <w:numPr>
          <w:ilvl w:val="1"/>
          <w:numId w:val="6"/>
        </w:numPr>
        <w:ind w:left="851" w:hanging="567"/>
        <w:jc w:val="both"/>
        <w:rPr>
          <w:sz w:val="28"/>
          <w:szCs w:val="28"/>
        </w:rPr>
      </w:pPr>
      <w:r>
        <w:rPr>
          <w:i/>
          <w:sz w:val="28"/>
          <w:szCs w:val="28"/>
          <w:lang w:val="en-US"/>
        </w:rPr>
        <w:t xml:space="preserve">Gross salaries </w:t>
      </w:r>
      <w:r>
        <w:rPr>
          <w:b/>
          <w:sz w:val="28"/>
          <w:szCs w:val="28"/>
          <w:lang w:val="en-US"/>
        </w:rPr>
        <w:t>rose</w:t>
      </w:r>
      <w:r w:rsidR="00544AC9" w:rsidRPr="00E8236F">
        <w:rPr>
          <w:sz w:val="28"/>
          <w:szCs w:val="28"/>
        </w:rPr>
        <w:t xml:space="preserve"> </w:t>
      </w:r>
      <w:r>
        <w:rPr>
          <w:sz w:val="28"/>
          <w:szCs w:val="28"/>
          <w:lang w:val="en-US"/>
        </w:rPr>
        <w:t xml:space="preserve">by UAH </w:t>
      </w:r>
      <w:r w:rsidRPr="0009727F">
        <w:rPr>
          <w:b/>
          <w:sz w:val="28"/>
          <w:szCs w:val="28"/>
          <w:lang w:val="en-US"/>
        </w:rPr>
        <w:t>8.5</w:t>
      </w:r>
      <w:r>
        <w:rPr>
          <w:sz w:val="28"/>
          <w:szCs w:val="28"/>
          <w:lang w:val="en-US"/>
        </w:rPr>
        <w:t xml:space="preserve"> bn (</w:t>
      </w:r>
      <w:r w:rsidRPr="0009727F">
        <w:rPr>
          <w:b/>
          <w:sz w:val="28"/>
          <w:szCs w:val="28"/>
          <w:lang w:val="en-US"/>
        </w:rPr>
        <w:t>31.3%</w:t>
      </w:r>
      <w:r>
        <w:rPr>
          <w:sz w:val="28"/>
          <w:szCs w:val="28"/>
          <w:lang w:val="en-US"/>
        </w:rPr>
        <w:t xml:space="preserve">) compared to Q1 of 2017 to UAH </w:t>
      </w:r>
      <w:r w:rsidRPr="0009727F">
        <w:rPr>
          <w:b/>
          <w:sz w:val="28"/>
          <w:szCs w:val="28"/>
          <w:lang w:val="en-US"/>
        </w:rPr>
        <w:t>35.6</w:t>
      </w:r>
      <w:r>
        <w:rPr>
          <w:sz w:val="28"/>
          <w:szCs w:val="28"/>
          <w:lang w:val="en-US"/>
        </w:rPr>
        <w:t xml:space="preserve"> bn</w:t>
      </w:r>
      <w:r w:rsidR="00544AC9" w:rsidRPr="00E8236F">
        <w:rPr>
          <w:sz w:val="28"/>
          <w:szCs w:val="28"/>
        </w:rPr>
        <w:t xml:space="preserve">; </w:t>
      </w:r>
    </w:p>
    <w:p w:rsidR="00544AC9" w:rsidRPr="00E8236F" w:rsidRDefault="0009727F" w:rsidP="00544AC9">
      <w:pPr>
        <w:pStyle w:val="af4"/>
        <w:numPr>
          <w:ilvl w:val="1"/>
          <w:numId w:val="6"/>
        </w:numPr>
        <w:ind w:left="851" w:hanging="567"/>
        <w:contextualSpacing w:val="0"/>
        <w:jc w:val="both"/>
        <w:rPr>
          <w:sz w:val="28"/>
          <w:szCs w:val="28"/>
        </w:rPr>
      </w:pPr>
      <w:r>
        <w:rPr>
          <w:i/>
          <w:sz w:val="28"/>
          <w:szCs w:val="28"/>
          <w:lang w:val="en-US"/>
        </w:rPr>
        <w:t xml:space="preserve">Social welfare payments </w:t>
      </w:r>
      <w:r w:rsidR="00544AC9" w:rsidRPr="00E8236F">
        <w:rPr>
          <w:i/>
          <w:sz w:val="28"/>
          <w:szCs w:val="28"/>
        </w:rPr>
        <w:t>(</w:t>
      </w:r>
      <w:r>
        <w:rPr>
          <w:i/>
          <w:sz w:val="28"/>
          <w:szCs w:val="28"/>
          <w:lang w:val="en-US"/>
        </w:rPr>
        <w:t>pensions, social aid, scholarships</w:t>
      </w:r>
      <w:r w:rsidR="00544AC9" w:rsidRPr="00E8236F">
        <w:rPr>
          <w:i/>
          <w:sz w:val="28"/>
          <w:szCs w:val="28"/>
        </w:rPr>
        <w:t xml:space="preserve">) </w:t>
      </w:r>
      <w:r>
        <w:rPr>
          <w:b/>
          <w:sz w:val="28"/>
          <w:szCs w:val="28"/>
          <w:lang w:val="en-US"/>
        </w:rPr>
        <w:t>rose</w:t>
      </w:r>
      <w:r w:rsidR="00544AC9" w:rsidRPr="00E8236F">
        <w:rPr>
          <w:b/>
          <w:sz w:val="28"/>
          <w:szCs w:val="28"/>
        </w:rPr>
        <w:t xml:space="preserve"> </w:t>
      </w:r>
      <w:r>
        <w:rPr>
          <w:sz w:val="28"/>
          <w:szCs w:val="28"/>
          <w:lang w:val="en-US"/>
        </w:rPr>
        <w:t xml:space="preserve">by UAH </w:t>
      </w:r>
      <w:r w:rsidRPr="0009727F">
        <w:rPr>
          <w:b/>
          <w:sz w:val="28"/>
          <w:szCs w:val="28"/>
          <w:lang w:val="en-US"/>
        </w:rPr>
        <w:t>10.5</w:t>
      </w:r>
      <w:r>
        <w:rPr>
          <w:sz w:val="28"/>
          <w:szCs w:val="28"/>
          <w:lang w:val="en-US"/>
        </w:rPr>
        <w:t xml:space="preserve"> bn (</w:t>
      </w:r>
      <w:r w:rsidRPr="0009727F">
        <w:rPr>
          <w:b/>
          <w:sz w:val="28"/>
          <w:szCs w:val="28"/>
          <w:lang w:val="en-US"/>
        </w:rPr>
        <w:t>36.7%</w:t>
      </w:r>
      <w:r>
        <w:rPr>
          <w:sz w:val="28"/>
          <w:szCs w:val="28"/>
          <w:lang w:val="en-US"/>
        </w:rPr>
        <w:t xml:space="preserve">) compared to Q1 of 2017 to UAH </w:t>
      </w:r>
      <w:r w:rsidRPr="0009727F">
        <w:rPr>
          <w:b/>
          <w:sz w:val="28"/>
          <w:szCs w:val="28"/>
          <w:lang w:val="en-US"/>
        </w:rPr>
        <w:t>39</w:t>
      </w:r>
      <w:r>
        <w:rPr>
          <w:sz w:val="28"/>
          <w:szCs w:val="28"/>
          <w:lang w:val="en-US"/>
        </w:rPr>
        <w:t xml:space="preserve"> bn</w:t>
      </w:r>
      <w:r w:rsidR="00544AC9" w:rsidRPr="00E8236F">
        <w:rPr>
          <w:sz w:val="28"/>
          <w:szCs w:val="28"/>
        </w:rPr>
        <w:t>.</w:t>
      </w:r>
    </w:p>
    <w:p w:rsidR="00B51BA9" w:rsidRPr="004661E6" w:rsidRDefault="0009727F" w:rsidP="0009727F">
      <w:pPr>
        <w:jc w:val="both"/>
        <w:rPr>
          <w:sz w:val="28"/>
          <w:szCs w:val="28"/>
        </w:rPr>
      </w:pPr>
      <w:r>
        <w:rPr>
          <w:sz w:val="28"/>
          <w:szCs w:val="28"/>
          <w:lang w:val="en-US"/>
        </w:rPr>
        <w:t xml:space="preserve">Spending development by the </w:t>
      </w:r>
      <w:r w:rsidRPr="0009727F">
        <w:rPr>
          <w:b/>
          <w:sz w:val="28"/>
          <w:szCs w:val="28"/>
          <w:lang w:val="en-US"/>
        </w:rPr>
        <w:t>functional classification</w:t>
      </w:r>
      <w:r>
        <w:rPr>
          <w:sz w:val="28"/>
          <w:szCs w:val="28"/>
          <w:lang w:val="en-US"/>
        </w:rPr>
        <w:t xml:space="preserve"> in Q1 of </w:t>
      </w:r>
      <w:r w:rsidR="00B51BA9" w:rsidRPr="004661E6">
        <w:rPr>
          <w:sz w:val="28"/>
          <w:szCs w:val="26"/>
        </w:rPr>
        <w:t>2018</w:t>
      </w:r>
      <w:r w:rsidR="00B51BA9" w:rsidRPr="004661E6">
        <w:rPr>
          <w:sz w:val="28"/>
          <w:szCs w:val="28"/>
        </w:rPr>
        <w:t>:</w:t>
      </w:r>
    </w:p>
    <w:p w:rsidR="00B51BA9" w:rsidRPr="004661E6" w:rsidRDefault="00B51BA9" w:rsidP="00544AC9">
      <w:pPr>
        <w:ind w:firstLine="539"/>
        <w:jc w:val="both"/>
        <w:rPr>
          <w:sz w:val="28"/>
          <w:szCs w:val="28"/>
        </w:rPr>
      </w:pPr>
      <w:r w:rsidRPr="004661E6">
        <w:rPr>
          <w:sz w:val="28"/>
          <w:szCs w:val="28"/>
        </w:rPr>
        <w:t xml:space="preserve">– </w:t>
      </w:r>
      <w:r w:rsidR="0009727F">
        <w:rPr>
          <w:sz w:val="28"/>
          <w:szCs w:val="28"/>
          <w:lang w:val="en-US"/>
        </w:rPr>
        <w:t xml:space="preserve">expenses of the consolidated budget for the </w:t>
      </w:r>
      <w:r w:rsidR="0009727F">
        <w:rPr>
          <w:b/>
          <w:i/>
          <w:sz w:val="28"/>
          <w:szCs w:val="28"/>
          <w:lang w:val="en-US"/>
        </w:rPr>
        <w:t>serving of the public debt</w:t>
      </w:r>
      <w:r w:rsidRPr="004661E6">
        <w:rPr>
          <w:b/>
          <w:i/>
          <w:sz w:val="28"/>
          <w:szCs w:val="28"/>
        </w:rPr>
        <w:t xml:space="preserve"> </w:t>
      </w:r>
      <w:r w:rsidR="0009727F">
        <w:rPr>
          <w:sz w:val="28"/>
          <w:szCs w:val="28"/>
          <w:lang w:val="en-US"/>
        </w:rPr>
        <w:t xml:space="preserve">reduced </w:t>
      </w:r>
      <w:r w:rsidR="00F54D22">
        <w:rPr>
          <w:sz w:val="28"/>
          <w:szCs w:val="28"/>
          <w:lang w:val="en-US"/>
        </w:rPr>
        <w:t xml:space="preserve">by </w:t>
      </w:r>
      <w:r w:rsidR="00F54D22" w:rsidRPr="00F54D22">
        <w:rPr>
          <w:b/>
          <w:sz w:val="28"/>
          <w:szCs w:val="28"/>
          <w:lang w:val="en-US"/>
        </w:rPr>
        <w:t>3.5%</w:t>
      </w:r>
      <w:r w:rsidR="00F54D22">
        <w:rPr>
          <w:sz w:val="28"/>
          <w:szCs w:val="28"/>
          <w:lang w:val="en-US"/>
        </w:rPr>
        <w:t xml:space="preserve"> compared to Q1 of 2017 to UAH </w:t>
      </w:r>
      <w:r w:rsidR="00F54D22" w:rsidRPr="00F54D22">
        <w:rPr>
          <w:b/>
          <w:sz w:val="28"/>
          <w:szCs w:val="28"/>
          <w:lang w:val="en-US"/>
        </w:rPr>
        <w:t>30.3</w:t>
      </w:r>
      <w:r w:rsidR="00F54D22">
        <w:rPr>
          <w:sz w:val="28"/>
          <w:szCs w:val="28"/>
          <w:lang w:val="en-US"/>
        </w:rPr>
        <w:t xml:space="preserve"> bn</w:t>
      </w:r>
      <w:r w:rsidRPr="004661E6">
        <w:rPr>
          <w:sz w:val="28"/>
          <w:szCs w:val="28"/>
        </w:rPr>
        <w:t>;</w:t>
      </w:r>
    </w:p>
    <w:p w:rsidR="00B51BA9" w:rsidRPr="004661E6" w:rsidRDefault="00B51BA9" w:rsidP="00B51BA9">
      <w:pPr>
        <w:ind w:firstLine="539"/>
        <w:jc w:val="both"/>
        <w:rPr>
          <w:sz w:val="28"/>
          <w:szCs w:val="28"/>
        </w:rPr>
      </w:pPr>
      <w:r w:rsidRPr="004661E6">
        <w:rPr>
          <w:sz w:val="28"/>
          <w:szCs w:val="28"/>
        </w:rPr>
        <w:t xml:space="preserve">– </w:t>
      </w:r>
      <w:r w:rsidR="00C76A49">
        <w:rPr>
          <w:sz w:val="28"/>
          <w:szCs w:val="28"/>
          <w:lang w:val="en-US"/>
        </w:rPr>
        <w:t xml:space="preserve">without re-payment of the public debt, the expenses for the </w:t>
      </w:r>
      <w:r w:rsidR="00C76A49" w:rsidRPr="00C76A49">
        <w:rPr>
          <w:b/>
          <w:i/>
          <w:sz w:val="28"/>
          <w:szCs w:val="28"/>
          <w:lang w:val="en-US"/>
        </w:rPr>
        <w:t>general state functions</w:t>
      </w:r>
      <w:r w:rsidR="00C76A49">
        <w:rPr>
          <w:sz w:val="28"/>
          <w:szCs w:val="28"/>
          <w:lang w:val="en-US"/>
        </w:rPr>
        <w:t xml:space="preserve"> from the consolidated budget rose by </w:t>
      </w:r>
      <w:r w:rsidR="00AE266C" w:rsidRPr="004661E6">
        <w:rPr>
          <w:b/>
          <w:sz w:val="28"/>
          <w:szCs w:val="28"/>
        </w:rPr>
        <w:t>42</w:t>
      </w:r>
      <w:r w:rsidR="00C76A49">
        <w:rPr>
          <w:b/>
          <w:sz w:val="28"/>
          <w:szCs w:val="28"/>
          <w:lang w:val="en-US"/>
        </w:rPr>
        <w:t>.</w:t>
      </w:r>
      <w:r w:rsidR="00AE266C" w:rsidRPr="004661E6">
        <w:rPr>
          <w:b/>
          <w:sz w:val="28"/>
          <w:szCs w:val="28"/>
        </w:rPr>
        <w:t>3</w:t>
      </w:r>
      <w:r w:rsidR="00C76A49">
        <w:rPr>
          <w:b/>
          <w:sz w:val="28"/>
          <w:szCs w:val="28"/>
          <w:lang w:val="en-US"/>
        </w:rPr>
        <w:t>%</w:t>
      </w:r>
      <w:r w:rsidR="00AE266C" w:rsidRPr="004661E6">
        <w:rPr>
          <w:sz w:val="28"/>
          <w:szCs w:val="28"/>
        </w:rPr>
        <w:t xml:space="preserve"> </w:t>
      </w:r>
      <w:r w:rsidR="00C76A49">
        <w:rPr>
          <w:sz w:val="28"/>
          <w:szCs w:val="28"/>
          <w:lang w:val="en-US"/>
        </w:rPr>
        <w:t xml:space="preserve">to UAH </w:t>
      </w:r>
      <w:r w:rsidRPr="004661E6">
        <w:rPr>
          <w:b/>
          <w:sz w:val="28"/>
          <w:szCs w:val="28"/>
        </w:rPr>
        <w:t>13</w:t>
      </w:r>
      <w:r w:rsidR="00C76A49">
        <w:rPr>
          <w:b/>
          <w:sz w:val="28"/>
          <w:szCs w:val="28"/>
          <w:lang w:val="en-US"/>
        </w:rPr>
        <w:t>.</w:t>
      </w:r>
      <w:r w:rsidRPr="004661E6">
        <w:rPr>
          <w:b/>
          <w:sz w:val="28"/>
          <w:szCs w:val="28"/>
        </w:rPr>
        <w:t>8 </w:t>
      </w:r>
      <w:r w:rsidR="00C76A49">
        <w:rPr>
          <w:sz w:val="28"/>
          <w:szCs w:val="28"/>
          <w:lang w:val="en-US"/>
        </w:rPr>
        <w:t>bn</w:t>
      </w:r>
      <w:r w:rsidRPr="004661E6">
        <w:rPr>
          <w:sz w:val="28"/>
          <w:szCs w:val="28"/>
        </w:rPr>
        <w:t xml:space="preserve">, </w:t>
      </w:r>
      <w:r w:rsidR="00C76A49">
        <w:rPr>
          <w:sz w:val="28"/>
          <w:szCs w:val="28"/>
          <w:lang w:val="en-US"/>
        </w:rPr>
        <w:t xml:space="preserve">including expenses from the state budget which rose </w:t>
      </w:r>
      <w:r w:rsidR="00C76A49" w:rsidRPr="00C76A49">
        <w:rPr>
          <w:b/>
          <w:sz w:val="28"/>
          <w:szCs w:val="28"/>
          <w:lang w:val="en-US"/>
        </w:rPr>
        <w:t>1.5</w:t>
      </w:r>
      <w:r w:rsidR="00C76A49">
        <w:rPr>
          <w:sz w:val="28"/>
          <w:szCs w:val="28"/>
          <w:lang w:val="en-US"/>
        </w:rPr>
        <w:t xml:space="preserve">fold to UAH </w:t>
      </w:r>
      <w:r w:rsidR="00C76A49" w:rsidRPr="00C76A49">
        <w:rPr>
          <w:b/>
          <w:sz w:val="28"/>
          <w:szCs w:val="28"/>
          <w:lang w:val="en-US"/>
        </w:rPr>
        <w:t>8.3</w:t>
      </w:r>
      <w:r w:rsidR="00C76A49">
        <w:rPr>
          <w:sz w:val="28"/>
          <w:szCs w:val="28"/>
          <w:lang w:val="en-US"/>
        </w:rPr>
        <w:t xml:space="preserve"> bn</w:t>
      </w:r>
      <w:r w:rsidRPr="004661E6">
        <w:rPr>
          <w:sz w:val="28"/>
          <w:szCs w:val="28"/>
        </w:rPr>
        <w:t>;</w:t>
      </w:r>
    </w:p>
    <w:p w:rsidR="00B51BA9" w:rsidRPr="004661E6" w:rsidRDefault="00B51BA9" w:rsidP="00B51BA9">
      <w:pPr>
        <w:ind w:firstLine="539"/>
        <w:jc w:val="both"/>
        <w:rPr>
          <w:sz w:val="28"/>
          <w:szCs w:val="28"/>
        </w:rPr>
      </w:pPr>
      <w:r w:rsidRPr="004661E6">
        <w:rPr>
          <w:sz w:val="28"/>
          <w:szCs w:val="28"/>
        </w:rPr>
        <w:t xml:space="preserve">– </w:t>
      </w:r>
      <w:r w:rsidR="00C76A49" w:rsidRPr="00C76A49">
        <w:rPr>
          <w:b/>
          <w:i/>
          <w:sz w:val="28"/>
          <w:szCs w:val="28"/>
          <w:lang w:val="en-US"/>
        </w:rPr>
        <w:t>defense</w:t>
      </w:r>
      <w:r w:rsidR="00C76A49">
        <w:rPr>
          <w:sz w:val="28"/>
          <w:szCs w:val="28"/>
          <w:lang w:val="en-US"/>
        </w:rPr>
        <w:t xml:space="preserve"> spending from the state budget rose by </w:t>
      </w:r>
      <w:r w:rsidR="00C76A49" w:rsidRPr="00C76A49">
        <w:rPr>
          <w:b/>
          <w:sz w:val="28"/>
          <w:szCs w:val="28"/>
          <w:lang w:val="en-US"/>
        </w:rPr>
        <w:t>15.1%</w:t>
      </w:r>
      <w:r w:rsidR="00C76A49">
        <w:rPr>
          <w:sz w:val="28"/>
          <w:szCs w:val="28"/>
          <w:lang w:val="en-US"/>
        </w:rPr>
        <w:t xml:space="preserve"> to UAH </w:t>
      </w:r>
      <w:r w:rsidR="00C76A49" w:rsidRPr="00C76A49">
        <w:rPr>
          <w:b/>
          <w:sz w:val="28"/>
          <w:szCs w:val="28"/>
          <w:lang w:val="en-US"/>
        </w:rPr>
        <w:t>13.3</w:t>
      </w:r>
      <w:r w:rsidR="00C76A49">
        <w:rPr>
          <w:sz w:val="28"/>
          <w:szCs w:val="28"/>
          <w:lang w:val="en-US"/>
        </w:rPr>
        <w:t xml:space="preserve"> bn</w:t>
      </w:r>
      <w:r w:rsidRPr="004661E6">
        <w:rPr>
          <w:sz w:val="28"/>
          <w:szCs w:val="28"/>
        </w:rPr>
        <w:t>;</w:t>
      </w:r>
    </w:p>
    <w:p w:rsidR="00B51BA9" w:rsidRPr="004661E6" w:rsidRDefault="00B51BA9" w:rsidP="00B51BA9">
      <w:pPr>
        <w:ind w:firstLine="539"/>
        <w:jc w:val="both"/>
        <w:rPr>
          <w:sz w:val="28"/>
          <w:szCs w:val="28"/>
        </w:rPr>
      </w:pPr>
      <w:r w:rsidRPr="004661E6">
        <w:rPr>
          <w:sz w:val="28"/>
          <w:szCs w:val="28"/>
        </w:rPr>
        <w:t xml:space="preserve">– </w:t>
      </w:r>
      <w:r w:rsidR="00C76A49">
        <w:rPr>
          <w:sz w:val="28"/>
          <w:szCs w:val="28"/>
          <w:lang w:val="en-US"/>
        </w:rPr>
        <w:t xml:space="preserve">expenses </w:t>
      </w:r>
      <w:r w:rsidR="00C76A49" w:rsidRPr="00C76A49">
        <w:rPr>
          <w:b/>
          <w:sz w:val="28"/>
          <w:szCs w:val="28"/>
          <w:lang w:val="en-US"/>
        </w:rPr>
        <w:t>for public order, security and judicial power</w:t>
      </w:r>
      <w:r w:rsidR="00C76A49">
        <w:rPr>
          <w:sz w:val="28"/>
          <w:szCs w:val="28"/>
          <w:lang w:val="en-US"/>
        </w:rPr>
        <w:t xml:space="preserve"> from the consolidated budget rose by </w:t>
      </w:r>
      <w:r w:rsidRPr="004661E6">
        <w:rPr>
          <w:b/>
          <w:sz w:val="28"/>
          <w:szCs w:val="28"/>
        </w:rPr>
        <w:t>39</w:t>
      </w:r>
      <w:r w:rsidR="00C76A49">
        <w:rPr>
          <w:b/>
          <w:sz w:val="28"/>
          <w:szCs w:val="28"/>
          <w:lang w:val="en-US"/>
        </w:rPr>
        <w:t>.</w:t>
      </w:r>
      <w:r w:rsidRPr="004661E6">
        <w:rPr>
          <w:b/>
          <w:sz w:val="28"/>
          <w:szCs w:val="28"/>
        </w:rPr>
        <w:t>7</w:t>
      </w:r>
      <w:r w:rsidR="00C76A49">
        <w:rPr>
          <w:b/>
          <w:sz w:val="28"/>
          <w:szCs w:val="28"/>
          <w:lang w:val="en-US"/>
        </w:rPr>
        <w:t>%</w:t>
      </w:r>
      <w:r w:rsidRPr="004661E6">
        <w:rPr>
          <w:b/>
          <w:sz w:val="28"/>
          <w:szCs w:val="28"/>
        </w:rPr>
        <w:t> </w:t>
      </w:r>
      <w:r w:rsidR="00C76A49">
        <w:rPr>
          <w:sz w:val="28"/>
          <w:szCs w:val="28"/>
          <w:lang w:val="en-US"/>
        </w:rPr>
        <w:t xml:space="preserve">to UAH </w:t>
      </w:r>
      <w:r w:rsidRPr="004661E6">
        <w:rPr>
          <w:b/>
          <w:bCs/>
          <w:sz w:val="28"/>
          <w:szCs w:val="28"/>
          <w:lang w:eastAsia="uk-UA"/>
        </w:rPr>
        <w:t>21</w:t>
      </w:r>
      <w:r w:rsidR="00C76A49">
        <w:rPr>
          <w:b/>
          <w:bCs/>
          <w:sz w:val="28"/>
          <w:szCs w:val="28"/>
          <w:lang w:val="en-US" w:eastAsia="uk-UA"/>
        </w:rPr>
        <w:t>.</w:t>
      </w:r>
      <w:r w:rsidRPr="004661E6">
        <w:rPr>
          <w:b/>
          <w:bCs/>
          <w:sz w:val="28"/>
          <w:szCs w:val="28"/>
          <w:lang w:eastAsia="uk-UA"/>
        </w:rPr>
        <w:t>4 </w:t>
      </w:r>
      <w:r w:rsidR="00C76A49">
        <w:rPr>
          <w:sz w:val="28"/>
          <w:szCs w:val="28"/>
          <w:lang w:val="en-US"/>
        </w:rPr>
        <w:t>bn</w:t>
      </w:r>
      <w:r w:rsidRPr="004661E6">
        <w:rPr>
          <w:sz w:val="28"/>
          <w:szCs w:val="28"/>
        </w:rPr>
        <w:t xml:space="preserve">, </w:t>
      </w:r>
      <w:r w:rsidR="00C76A49">
        <w:rPr>
          <w:sz w:val="28"/>
          <w:szCs w:val="28"/>
          <w:lang w:val="en-US"/>
        </w:rPr>
        <w:t xml:space="preserve">including expenses from the state budget which rose by </w:t>
      </w:r>
      <w:r w:rsidRPr="004661E6">
        <w:rPr>
          <w:b/>
          <w:sz w:val="28"/>
          <w:szCs w:val="28"/>
        </w:rPr>
        <w:t>39</w:t>
      </w:r>
      <w:r w:rsidR="00C76A49">
        <w:rPr>
          <w:b/>
          <w:sz w:val="28"/>
          <w:szCs w:val="28"/>
          <w:lang w:val="en-US"/>
        </w:rPr>
        <w:t>.</w:t>
      </w:r>
      <w:r w:rsidRPr="004661E6">
        <w:rPr>
          <w:b/>
          <w:sz w:val="28"/>
          <w:szCs w:val="28"/>
        </w:rPr>
        <w:t>4</w:t>
      </w:r>
      <w:r w:rsidR="00C76A49">
        <w:rPr>
          <w:b/>
          <w:sz w:val="28"/>
          <w:szCs w:val="28"/>
          <w:lang w:val="en-US"/>
        </w:rPr>
        <w:t>%</w:t>
      </w:r>
      <w:r w:rsidRPr="004661E6">
        <w:rPr>
          <w:sz w:val="28"/>
          <w:szCs w:val="28"/>
        </w:rPr>
        <w:t xml:space="preserve"> </w:t>
      </w:r>
      <w:r w:rsidR="00C76A49">
        <w:rPr>
          <w:sz w:val="28"/>
          <w:szCs w:val="28"/>
          <w:lang w:val="en-US"/>
        </w:rPr>
        <w:t xml:space="preserve">to UAH </w:t>
      </w:r>
      <w:r w:rsidRPr="004661E6">
        <w:rPr>
          <w:b/>
          <w:bCs/>
          <w:sz w:val="28"/>
          <w:szCs w:val="28"/>
          <w:lang w:eastAsia="uk-UA"/>
        </w:rPr>
        <w:t>21</w:t>
      </w:r>
      <w:r w:rsidR="00C76A49">
        <w:rPr>
          <w:b/>
          <w:bCs/>
          <w:sz w:val="28"/>
          <w:szCs w:val="28"/>
          <w:lang w:val="en-US" w:eastAsia="uk-UA"/>
        </w:rPr>
        <w:t>.</w:t>
      </w:r>
      <w:r w:rsidRPr="004661E6">
        <w:rPr>
          <w:b/>
          <w:bCs/>
          <w:sz w:val="28"/>
          <w:szCs w:val="28"/>
          <w:lang w:eastAsia="uk-UA"/>
        </w:rPr>
        <w:t>3 </w:t>
      </w:r>
      <w:r w:rsidR="00C76A49">
        <w:rPr>
          <w:sz w:val="28"/>
          <w:szCs w:val="28"/>
          <w:lang w:val="en-US"/>
        </w:rPr>
        <w:t>bn</w:t>
      </w:r>
      <w:r w:rsidRPr="004661E6">
        <w:rPr>
          <w:sz w:val="28"/>
          <w:szCs w:val="28"/>
        </w:rPr>
        <w:t>;</w:t>
      </w:r>
    </w:p>
    <w:p w:rsidR="00B51BA9" w:rsidRPr="004661E6" w:rsidRDefault="00B51BA9" w:rsidP="00B51BA9">
      <w:pPr>
        <w:ind w:firstLine="539"/>
        <w:jc w:val="both"/>
        <w:rPr>
          <w:sz w:val="28"/>
          <w:szCs w:val="28"/>
        </w:rPr>
      </w:pPr>
      <w:r w:rsidRPr="004661E6">
        <w:rPr>
          <w:sz w:val="28"/>
          <w:szCs w:val="28"/>
        </w:rPr>
        <w:t xml:space="preserve">– </w:t>
      </w:r>
      <w:r w:rsidR="00C76A49">
        <w:rPr>
          <w:sz w:val="28"/>
          <w:szCs w:val="28"/>
          <w:lang w:val="en-US"/>
        </w:rPr>
        <w:t xml:space="preserve">expenses for </w:t>
      </w:r>
      <w:r w:rsidR="00C76A49">
        <w:rPr>
          <w:b/>
          <w:bCs/>
          <w:i/>
          <w:iCs/>
          <w:sz w:val="28"/>
          <w:szCs w:val="28"/>
          <w:lang w:val="en-US"/>
        </w:rPr>
        <w:t>economic activity</w:t>
      </w:r>
      <w:r w:rsidRPr="004661E6">
        <w:rPr>
          <w:b/>
          <w:bCs/>
          <w:i/>
          <w:iCs/>
          <w:sz w:val="28"/>
          <w:szCs w:val="28"/>
        </w:rPr>
        <w:t xml:space="preserve"> </w:t>
      </w:r>
      <w:r w:rsidR="00C76A49">
        <w:rPr>
          <w:sz w:val="28"/>
          <w:szCs w:val="28"/>
          <w:lang w:val="en-US"/>
        </w:rPr>
        <w:t xml:space="preserve">from the consolidated budget rose by </w:t>
      </w:r>
      <w:r w:rsidRPr="004661E6">
        <w:rPr>
          <w:b/>
          <w:sz w:val="28"/>
          <w:szCs w:val="28"/>
        </w:rPr>
        <w:t>35</w:t>
      </w:r>
      <w:r w:rsidR="00C76A49">
        <w:rPr>
          <w:b/>
          <w:sz w:val="28"/>
          <w:szCs w:val="28"/>
          <w:lang w:val="en-US"/>
        </w:rPr>
        <w:t>.</w:t>
      </w:r>
      <w:r w:rsidRPr="004661E6">
        <w:rPr>
          <w:b/>
          <w:sz w:val="28"/>
          <w:szCs w:val="28"/>
        </w:rPr>
        <w:t>1</w:t>
      </w:r>
      <w:r w:rsidR="00C76A49">
        <w:rPr>
          <w:b/>
          <w:sz w:val="28"/>
          <w:szCs w:val="28"/>
          <w:lang w:val="en-US"/>
        </w:rPr>
        <w:t>%</w:t>
      </w:r>
      <w:r w:rsidR="00C76A49">
        <w:rPr>
          <w:sz w:val="28"/>
          <w:szCs w:val="28"/>
          <w:lang w:val="en-US"/>
        </w:rPr>
        <w:t xml:space="preserve"> to UAH </w:t>
      </w:r>
      <w:r w:rsidRPr="004661E6">
        <w:rPr>
          <w:b/>
          <w:bCs/>
          <w:sz w:val="28"/>
          <w:szCs w:val="28"/>
        </w:rPr>
        <w:t>11</w:t>
      </w:r>
      <w:r w:rsidR="00C76A49">
        <w:rPr>
          <w:b/>
          <w:bCs/>
          <w:sz w:val="28"/>
          <w:szCs w:val="28"/>
          <w:lang w:val="en-US"/>
        </w:rPr>
        <w:t>.</w:t>
      </w:r>
      <w:r w:rsidRPr="004661E6">
        <w:rPr>
          <w:b/>
          <w:bCs/>
          <w:sz w:val="28"/>
          <w:szCs w:val="28"/>
        </w:rPr>
        <w:t>9 </w:t>
      </w:r>
      <w:r w:rsidR="00C76A49">
        <w:rPr>
          <w:sz w:val="28"/>
          <w:szCs w:val="28"/>
          <w:lang w:val="en-US"/>
        </w:rPr>
        <w:t>bn</w:t>
      </w:r>
      <w:r w:rsidRPr="004661E6">
        <w:rPr>
          <w:sz w:val="28"/>
          <w:szCs w:val="28"/>
        </w:rPr>
        <w:t xml:space="preserve">, </w:t>
      </w:r>
      <w:r w:rsidR="00C76A49">
        <w:rPr>
          <w:sz w:val="28"/>
          <w:szCs w:val="28"/>
          <w:lang w:val="en-US"/>
        </w:rPr>
        <w:t xml:space="preserve">including expenses from the state budget which rose by </w:t>
      </w:r>
      <w:r w:rsidRPr="004661E6">
        <w:rPr>
          <w:b/>
          <w:sz w:val="28"/>
          <w:szCs w:val="28"/>
        </w:rPr>
        <w:t>35</w:t>
      </w:r>
      <w:r w:rsidR="00C76A49">
        <w:rPr>
          <w:b/>
          <w:sz w:val="28"/>
          <w:szCs w:val="28"/>
          <w:lang w:val="en-US"/>
        </w:rPr>
        <w:t>.</w:t>
      </w:r>
      <w:r w:rsidRPr="004661E6">
        <w:rPr>
          <w:b/>
          <w:sz w:val="28"/>
          <w:szCs w:val="28"/>
        </w:rPr>
        <w:t>7</w:t>
      </w:r>
      <w:r w:rsidR="00C76A49">
        <w:rPr>
          <w:b/>
          <w:sz w:val="28"/>
          <w:szCs w:val="28"/>
          <w:lang w:val="en-US"/>
        </w:rPr>
        <w:t>%</w:t>
      </w:r>
      <w:r w:rsidRPr="004661E6">
        <w:rPr>
          <w:b/>
          <w:sz w:val="28"/>
          <w:szCs w:val="28"/>
        </w:rPr>
        <w:t> </w:t>
      </w:r>
      <w:r w:rsidR="00C76A49">
        <w:rPr>
          <w:sz w:val="28"/>
          <w:szCs w:val="28"/>
          <w:lang w:val="en-US"/>
        </w:rPr>
        <w:t xml:space="preserve">to UAH </w:t>
      </w:r>
      <w:r w:rsidRPr="004661E6">
        <w:rPr>
          <w:b/>
          <w:bCs/>
          <w:sz w:val="28"/>
          <w:szCs w:val="28"/>
        </w:rPr>
        <w:t>6</w:t>
      </w:r>
      <w:r w:rsidR="00C76A49">
        <w:rPr>
          <w:b/>
          <w:bCs/>
          <w:sz w:val="28"/>
          <w:szCs w:val="28"/>
          <w:lang w:val="en-US"/>
        </w:rPr>
        <w:t>.</w:t>
      </w:r>
      <w:r w:rsidRPr="004661E6">
        <w:rPr>
          <w:b/>
          <w:bCs/>
          <w:sz w:val="28"/>
          <w:szCs w:val="28"/>
        </w:rPr>
        <w:t xml:space="preserve">4 </w:t>
      </w:r>
      <w:r w:rsidR="00C76A49">
        <w:rPr>
          <w:sz w:val="28"/>
          <w:szCs w:val="28"/>
          <w:lang w:val="en-US"/>
        </w:rPr>
        <w:t>bn</w:t>
      </w:r>
      <w:r w:rsidRPr="004661E6">
        <w:rPr>
          <w:sz w:val="28"/>
          <w:szCs w:val="28"/>
        </w:rPr>
        <w:t>;</w:t>
      </w:r>
    </w:p>
    <w:p w:rsidR="00B51BA9" w:rsidRPr="004661E6" w:rsidRDefault="00B51BA9" w:rsidP="00B51BA9">
      <w:pPr>
        <w:ind w:firstLine="539"/>
        <w:jc w:val="both"/>
        <w:rPr>
          <w:sz w:val="28"/>
          <w:szCs w:val="28"/>
        </w:rPr>
      </w:pPr>
      <w:r w:rsidRPr="004661E6">
        <w:rPr>
          <w:sz w:val="28"/>
          <w:szCs w:val="28"/>
        </w:rPr>
        <w:t xml:space="preserve">– </w:t>
      </w:r>
      <w:r w:rsidR="00511B61">
        <w:rPr>
          <w:sz w:val="28"/>
          <w:szCs w:val="28"/>
          <w:lang w:val="en-US"/>
        </w:rPr>
        <w:t xml:space="preserve">expenses for the </w:t>
      </w:r>
      <w:r w:rsidR="00511B61">
        <w:rPr>
          <w:b/>
          <w:i/>
          <w:sz w:val="28"/>
          <w:szCs w:val="28"/>
          <w:lang w:val="en-US"/>
        </w:rPr>
        <w:t>protection of the environment</w:t>
      </w:r>
      <w:r w:rsidRPr="004661E6">
        <w:rPr>
          <w:sz w:val="28"/>
          <w:szCs w:val="28"/>
        </w:rPr>
        <w:t xml:space="preserve"> </w:t>
      </w:r>
      <w:r w:rsidR="00511B61">
        <w:rPr>
          <w:sz w:val="28"/>
          <w:szCs w:val="28"/>
          <w:lang w:val="en-US"/>
        </w:rPr>
        <w:t xml:space="preserve">from the consolidated budget reduced by </w:t>
      </w:r>
      <w:r w:rsidRPr="004661E6">
        <w:rPr>
          <w:b/>
          <w:sz w:val="28"/>
          <w:szCs w:val="28"/>
        </w:rPr>
        <w:t>29</w:t>
      </w:r>
      <w:r w:rsidR="00511B61">
        <w:rPr>
          <w:b/>
          <w:sz w:val="28"/>
          <w:szCs w:val="28"/>
          <w:lang w:val="en-US"/>
        </w:rPr>
        <w:t>%</w:t>
      </w:r>
      <w:r w:rsidRPr="004661E6">
        <w:rPr>
          <w:sz w:val="28"/>
          <w:szCs w:val="28"/>
        </w:rPr>
        <w:t xml:space="preserve"> </w:t>
      </w:r>
      <w:r w:rsidR="00511B61">
        <w:rPr>
          <w:sz w:val="28"/>
          <w:szCs w:val="28"/>
          <w:lang w:val="en-US"/>
        </w:rPr>
        <w:t xml:space="preserve">to UAH </w:t>
      </w:r>
      <w:r w:rsidRPr="004661E6">
        <w:rPr>
          <w:b/>
          <w:sz w:val="28"/>
          <w:szCs w:val="28"/>
        </w:rPr>
        <w:t>0</w:t>
      </w:r>
      <w:r w:rsidR="00511B61">
        <w:rPr>
          <w:b/>
          <w:sz w:val="28"/>
          <w:szCs w:val="28"/>
          <w:lang w:val="en-US"/>
        </w:rPr>
        <w:t>.</w:t>
      </w:r>
      <w:r w:rsidRPr="004661E6">
        <w:rPr>
          <w:b/>
          <w:sz w:val="28"/>
          <w:szCs w:val="28"/>
        </w:rPr>
        <w:t>8</w:t>
      </w:r>
      <w:r w:rsidRPr="004661E6">
        <w:rPr>
          <w:sz w:val="28"/>
          <w:szCs w:val="28"/>
        </w:rPr>
        <w:t xml:space="preserve"> </w:t>
      </w:r>
      <w:r w:rsidR="00511B61">
        <w:rPr>
          <w:sz w:val="28"/>
          <w:szCs w:val="28"/>
          <w:lang w:val="en-US"/>
        </w:rPr>
        <w:t>bn</w:t>
      </w:r>
      <w:r w:rsidRPr="004661E6">
        <w:rPr>
          <w:sz w:val="28"/>
          <w:szCs w:val="28"/>
        </w:rPr>
        <w:t xml:space="preserve">, </w:t>
      </w:r>
      <w:r w:rsidR="00511B61">
        <w:rPr>
          <w:sz w:val="28"/>
          <w:szCs w:val="28"/>
          <w:lang w:val="en-US"/>
        </w:rPr>
        <w:t xml:space="preserve">including expenses from the state budget which went down by </w:t>
      </w:r>
      <w:r w:rsidRPr="004661E6">
        <w:rPr>
          <w:b/>
          <w:sz w:val="28"/>
          <w:szCs w:val="28"/>
        </w:rPr>
        <w:t>39</w:t>
      </w:r>
      <w:r w:rsidR="00511B61">
        <w:rPr>
          <w:b/>
          <w:sz w:val="28"/>
          <w:szCs w:val="28"/>
          <w:lang w:val="en-US"/>
        </w:rPr>
        <w:t>.</w:t>
      </w:r>
      <w:r w:rsidRPr="004661E6">
        <w:rPr>
          <w:b/>
          <w:sz w:val="28"/>
          <w:szCs w:val="28"/>
        </w:rPr>
        <w:t>9</w:t>
      </w:r>
      <w:r w:rsidR="00511B61">
        <w:rPr>
          <w:b/>
          <w:sz w:val="28"/>
          <w:szCs w:val="28"/>
          <w:lang w:val="en-US"/>
        </w:rPr>
        <w:t>%</w:t>
      </w:r>
      <w:r w:rsidRPr="004661E6">
        <w:rPr>
          <w:sz w:val="28"/>
          <w:szCs w:val="28"/>
        </w:rPr>
        <w:t xml:space="preserve"> </w:t>
      </w:r>
      <w:r w:rsidR="00511B61">
        <w:rPr>
          <w:sz w:val="28"/>
          <w:szCs w:val="28"/>
          <w:lang w:val="en-US"/>
        </w:rPr>
        <w:t xml:space="preserve">to UAH </w:t>
      </w:r>
      <w:r w:rsidRPr="004661E6">
        <w:rPr>
          <w:b/>
          <w:bCs/>
          <w:sz w:val="28"/>
          <w:szCs w:val="28"/>
          <w:lang w:eastAsia="uk-UA"/>
        </w:rPr>
        <w:t>0</w:t>
      </w:r>
      <w:r w:rsidR="00511B61">
        <w:rPr>
          <w:b/>
          <w:bCs/>
          <w:sz w:val="28"/>
          <w:szCs w:val="28"/>
          <w:lang w:val="en-US" w:eastAsia="uk-UA"/>
        </w:rPr>
        <w:t>.</w:t>
      </w:r>
      <w:r w:rsidRPr="004661E6">
        <w:rPr>
          <w:b/>
          <w:bCs/>
          <w:sz w:val="28"/>
          <w:szCs w:val="28"/>
          <w:lang w:eastAsia="uk-UA"/>
        </w:rPr>
        <w:t>6 </w:t>
      </w:r>
      <w:r w:rsidR="00511B61">
        <w:rPr>
          <w:sz w:val="28"/>
          <w:szCs w:val="28"/>
          <w:lang w:val="en-US"/>
        </w:rPr>
        <w:t xml:space="preserve">bn. This reduction is due to the fact that the budget for </w:t>
      </w:r>
      <w:r w:rsidRPr="004661E6">
        <w:rPr>
          <w:bCs/>
          <w:sz w:val="28"/>
          <w:szCs w:val="28"/>
          <w:lang w:eastAsia="uk-UA"/>
        </w:rPr>
        <w:t xml:space="preserve">2018 </w:t>
      </w:r>
      <w:r w:rsidR="00511B61">
        <w:rPr>
          <w:bCs/>
          <w:sz w:val="28"/>
          <w:szCs w:val="28"/>
          <w:lang w:val="en-US" w:eastAsia="uk-UA"/>
        </w:rPr>
        <w:t xml:space="preserve">does not provide funding for the budget program “Contribution of Ukraine to the Chornobyl Foundation “Shelter” and to the EBRD Nuclear Security Program”, whereas the expenses for this program in Q1 of 2017 amounted UAH </w:t>
      </w:r>
      <w:r w:rsidR="00511B61" w:rsidRPr="00511B61">
        <w:rPr>
          <w:b/>
          <w:bCs/>
          <w:sz w:val="28"/>
          <w:szCs w:val="28"/>
          <w:lang w:val="en-US" w:eastAsia="uk-UA"/>
        </w:rPr>
        <w:t>0.3</w:t>
      </w:r>
      <w:r w:rsidR="00511B61">
        <w:rPr>
          <w:bCs/>
          <w:sz w:val="28"/>
          <w:szCs w:val="28"/>
          <w:lang w:val="en-US" w:eastAsia="uk-UA"/>
        </w:rPr>
        <w:t xml:space="preserve"> bn</w:t>
      </w:r>
      <w:r w:rsidRPr="004661E6">
        <w:rPr>
          <w:bCs/>
          <w:sz w:val="28"/>
          <w:szCs w:val="28"/>
          <w:lang w:eastAsia="uk-UA"/>
        </w:rPr>
        <w:t xml:space="preserve">. </w:t>
      </w:r>
    </w:p>
    <w:p w:rsidR="00B51BA9" w:rsidRPr="004661E6" w:rsidRDefault="00555983" w:rsidP="00511B61">
      <w:pPr>
        <w:jc w:val="both"/>
        <w:rPr>
          <w:sz w:val="28"/>
          <w:szCs w:val="28"/>
        </w:rPr>
      </w:pPr>
      <w:r>
        <w:rPr>
          <w:sz w:val="28"/>
          <w:szCs w:val="28"/>
          <w:lang w:val="en-US"/>
        </w:rPr>
        <w:t xml:space="preserve">According to the annex “Distribution of the contribution of Ukraine to the Chornobyl foundation “Shelter” for the period from 2006 till 2017” of the Decree of the Cabinet of Ministers No. 1927 dd. December 18, 2002 “On the Approval of the Procedure for the Transfer of the Contribution of Ukraine to the Chornobyl Foundation “Shelter””, 2017 was the last year when Ukraine had to transfer its contribution. As per December 20, 2017, the contribution of Ukraine had been transferred in full and amounted UAH </w:t>
      </w:r>
      <w:r w:rsidRPr="00555983">
        <w:rPr>
          <w:b/>
          <w:sz w:val="28"/>
          <w:szCs w:val="28"/>
          <w:lang w:val="en-US"/>
        </w:rPr>
        <w:t>1.2</w:t>
      </w:r>
      <w:r>
        <w:rPr>
          <w:sz w:val="28"/>
          <w:szCs w:val="28"/>
          <w:lang w:val="en-US"/>
        </w:rPr>
        <w:t xml:space="preserve"> bn</w:t>
      </w:r>
      <w:r w:rsidR="00B51BA9" w:rsidRPr="004661E6">
        <w:rPr>
          <w:bCs/>
          <w:sz w:val="28"/>
          <w:szCs w:val="28"/>
          <w:lang w:eastAsia="uk-UA"/>
        </w:rPr>
        <w:t>;</w:t>
      </w:r>
    </w:p>
    <w:p w:rsidR="00B51BA9" w:rsidRPr="004661E6" w:rsidRDefault="00B51BA9" w:rsidP="00B51BA9">
      <w:pPr>
        <w:ind w:firstLine="539"/>
        <w:jc w:val="both"/>
        <w:rPr>
          <w:b/>
          <w:sz w:val="28"/>
          <w:szCs w:val="28"/>
        </w:rPr>
      </w:pPr>
      <w:r w:rsidRPr="004661E6">
        <w:rPr>
          <w:sz w:val="28"/>
          <w:szCs w:val="28"/>
        </w:rPr>
        <w:t xml:space="preserve">– </w:t>
      </w:r>
      <w:r w:rsidR="006B45FE">
        <w:rPr>
          <w:sz w:val="28"/>
          <w:szCs w:val="28"/>
          <w:lang w:val="en-US"/>
        </w:rPr>
        <w:t xml:space="preserve">expenses for the </w:t>
      </w:r>
      <w:r w:rsidR="006B45FE">
        <w:rPr>
          <w:b/>
          <w:i/>
          <w:sz w:val="28"/>
          <w:szCs w:val="28"/>
          <w:lang w:val="en-US"/>
        </w:rPr>
        <w:t>housing and municipal sector</w:t>
      </w:r>
      <w:r w:rsidRPr="004661E6">
        <w:rPr>
          <w:b/>
          <w:i/>
          <w:sz w:val="28"/>
          <w:szCs w:val="28"/>
        </w:rPr>
        <w:t xml:space="preserve"> </w:t>
      </w:r>
      <w:r w:rsidR="006B45FE">
        <w:rPr>
          <w:sz w:val="28"/>
          <w:szCs w:val="28"/>
          <w:lang w:val="en-US"/>
        </w:rPr>
        <w:t xml:space="preserve">from the consolidated budget rose by </w:t>
      </w:r>
      <w:r w:rsidRPr="004661E6">
        <w:rPr>
          <w:b/>
          <w:sz w:val="28"/>
          <w:szCs w:val="28"/>
        </w:rPr>
        <w:t>29</w:t>
      </w:r>
      <w:r w:rsidR="006B45FE">
        <w:rPr>
          <w:b/>
          <w:sz w:val="28"/>
          <w:szCs w:val="28"/>
          <w:lang w:val="en-US"/>
        </w:rPr>
        <w:t>%</w:t>
      </w:r>
      <w:r w:rsidRPr="004661E6">
        <w:rPr>
          <w:b/>
          <w:sz w:val="28"/>
          <w:szCs w:val="28"/>
        </w:rPr>
        <w:t xml:space="preserve"> </w:t>
      </w:r>
      <w:r w:rsidR="006B45FE">
        <w:rPr>
          <w:sz w:val="28"/>
          <w:szCs w:val="28"/>
          <w:lang w:val="en-US"/>
        </w:rPr>
        <w:t xml:space="preserve">to UAH </w:t>
      </w:r>
      <w:r w:rsidRPr="004661E6">
        <w:rPr>
          <w:b/>
          <w:sz w:val="28"/>
          <w:szCs w:val="28"/>
        </w:rPr>
        <w:t>3</w:t>
      </w:r>
      <w:r w:rsidR="006B45FE">
        <w:rPr>
          <w:b/>
          <w:sz w:val="28"/>
          <w:szCs w:val="28"/>
          <w:lang w:val="en-US"/>
        </w:rPr>
        <w:t>.</w:t>
      </w:r>
      <w:r w:rsidRPr="004661E6">
        <w:rPr>
          <w:b/>
          <w:sz w:val="28"/>
          <w:szCs w:val="28"/>
        </w:rPr>
        <w:t>3 </w:t>
      </w:r>
      <w:r w:rsidR="006B45FE">
        <w:rPr>
          <w:sz w:val="28"/>
          <w:szCs w:val="28"/>
          <w:lang w:val="en-US"/>
        </w:rPr>
        <w:t>bn</w:t>
      </w:r>
      <w:r w:rsidRPr="004661E6">
        <w:rPr>
          <w:sz w:val="28"/>
          <w:szCs w:val="28"/>
        </w:rPr>
        <w:t>;</w:t>
      </w:r>
    </w:p>
    <w:p w:rsidR="00B51BA9" w:rsidRPr="004661E6" w:rsidRDefault="00B51BA9" w:rsidP="00B51BA9">
      <w:pPr>
        <w:ind w:firstLine="539"/>
        <w:jc w:val="both"/>
        <w:rPr>
          <w:sz w:val="28"/>
          <w:szCs w:val="28"/>
        </w:rPr>
      </w:pPr>
      <w:r w:rsidRPr="004661E6">
        <w:rPr>
          <w:sz w:val="28"/>
          <w:szCs w:val="28"/>
        </w:rPr>
        <w:t xml:space="preserve">– </w:t>
      </w:r>
      <w:r w:rsidR="006B45FE">
        <w:rPr>
          <w:sz w:val="28"/>
          <w:szCs w:val="28"/>
          <w:lang w:val="en-US"/>
        </w:rPr>
        <w:t xml:space="preserve">expenses for </w:t>
      </w:r>
      <w:r w:rsidR="006B45FE">
        <w:rPr>
          <w:b/>
          <w:i/>
          <w:sz w:val="28"/>
          <w:szCs w:val="28"/>
          <w:lang w:val="en-US"/>
        </w:rPr>
        <w:t>healthcare</w:t>
      </w:r>
      <w:r w:rsidRPr="004661E6">
        <w:rPr>
          <w:sz w:val="28"/>
          <w:szCs w:val="28"/>
        </w:rPr>
        <w:t xml:space="preserve"> </w:t>
      </w:r>
      <w:r w:rsidR="006B45FE">
        <w:rPr>
          <w:sz w:val="28"/>
          <w:szCs w:val="28"/>
          <w:lang w:val="en-US"/>
        </w:rPr>
        <w:t xml:space="preserve">from the consolidated budget rose by </w:t>
      </w:r>
      <w:r w:rsidRPr="004661E6">
        <w:rPr>
          <w:b/>
          <w:sz w:val="28"/>
          <w:szCs w:val="28"/>
        </w:rPr>
        <w:t>14</w:t>
      </w:r>
      <w:r w:rsidR="006B45FE">
        <w:rPr>
          <w:b/>
          <w:sz w:val="28"/>
          <w:szCs w:val="28"/>
          <w:lang w:val="en-US"/>
        </w:rPr>
        <w:t>.</w:t>
      </w:r>
      <w:r w:rsidRPr="004661E6">
        <w:rPr>
          <w:b/>
          <w:sz w:val="28"/>
          <w:szCs w:val="28"/>
        </w:rPr>
        <w:t>2</w:t>
      </w:r>
      <w:r w:rsidR="006B45FE">
        <w:rPr>
          <w:b/>
          <w:sz w:val="28"/>
          <w:szCs w:val="28"/>
          <w:lang w:val="en-US"/>
        </w:rPr>
        <w:t>%</w:t>
      </w:r>
      <w:r w:rsidRPr="004661E6">
        <w:rPr>
          <w:sz w:val="28"/>
          <w:szCs w:val="28"/>
        </w:rPr>
        <w:t xml:space="preserve"> </w:t>
      </w:r>
      <w:r w:rsidR="006B45FE">
        <w:rPr>
          <w:sz w:val="28"/>
          <w:szCs w:val="28"/>
          <w:lang w:val="en-US"/>
        </w:rPr>
        <w:t xml:space="preserve">to UAH </w:t>
      </w:r>
      <w:r w:rsidRPr="004661E6">
        <w:rPr>
          <w:b/>
          <w:sz w:val="28"/>
          <w:szCs w:val="28"/>
        </w:rPr>
        <w:t>20</w:t>
      </w:r>
      <w:r w:rsidR="006B45FE">
        <w:rPr>
          <w:b/>
          <w:sz w:val="28"/>
          <w:szCs w:val="28"/>
          <w:lang w:val="en-US"/>
        </w:rPr>
        <w:t>.</w:t>
      </w:r>
      <w:r w:rsidRPr="004661E6">
        <w:rPr>
          <w:b/>
          <w:sz w:val="28"/>
          <w:szCs w:val="28"/>
        </w:rPr>
        <w:t>6</w:t>
      </w:r>
      <w:r w:rsidRPr="004661E6">
        <w:rPr>
          <w:b/>
          <w:bCs/>
          <w:sz w:val="28"/>
          <w:szCs w:val="28"/>
          <w:lang w:eastAsia="uk-UA"/>
        </w:rPr>
        <w:t> </w:t>
      </w:r>
      <w:r w:rsidR="006B45FE">
        <w:rPr>
          <w:sz w:val="28"/>
          <w:szCs w:val="28"/>
          <w:lang w:val="en-US"/>
        </w:rPr>
        <w:t>bn</w:t>
      </w:r>
      <w:r w:rsidRPr="004661E6">
        <w:rPr>
          <w:sz w:val="28"/>
          <w:szCs w:val="28"/>
        </w:rPr>
        <w:t xml:space="preserve">, </w:t>
      </w:r>
      <w:r w:rsidR="006B45FE">
        <w:rPr>
          <w:sz w:val="28"/>
          <w:szCs w:val="28"/>
          <w:lang w:val="en-US"/>
        </w:rPr>
        <w:t xml:space="preserve">including expenses from the state budget which rose by </w:t>
      </w:r>
      <w:r w:rsidRPr="004661E6">
        <w:rPr>
          <w:b/>
          <w:sz w:val="28"/>
          <w:szCs w:val="28"/>
        </w:rPr>
        <w:t>6</w:t>
      </w:r>
      <w:r w:rsidR="006B45FE">
        <w:rPr>
          <w:b/>
          <w:sz w:val="28"/>
          <w:szCs w:val="28"/>
          <w:lang w:val="en-US"/>
        </w:rPr>
        <w:t>.</w:t>
      </w:r>
      <w:r w:rsidRPr="004661E6">
        <w:rPr>
          <w:b/>
          <w:sz w:val="28"/>
          <w:szCs w:val="28"/>
        </w:rPr>
        <w:t>3</w:t>
      </w:r>
      <w:r w:rsidR="006B45FE">
        <w:rPr>
          <w:b/>
          <w:sz w:val="28"/>
          <w:szCs w:val="28"/>
          <w:lang w:val="en-US"/>
        </w:rPr>
        <w:t>%</w:t>
      </w:r>
      <w:r w:rsidRPr="004661E6">
        <w:rPr>
          <w:b/>
          <w:sz w:val="28"/>
          <w:szCs w:val="28"/>
        </w:rPr>
        <w:t> </w:t>
      </w:r>
      <w:r w:rsidR="006B45FE">
        <w:rPr>
          <w:sz w:val="28"/>
          <w:szCs w:val="28"/>
          <w:lang w:val="en-US"/>
        </w:rPr>
        <w:t xml:space="preserve">to UAH </w:t>
      </w:r>
      <w:r w:rsidRPr="004661E6">
        <w:rPr>
          <w:b/>
          <w:sz w:val="28"/>
          <w:szCs w:val="28"/>
        </w:rPr>
        <w:t>1</w:t>
      </w:r>
      <w:r w:rsidR="006B45FE">
        <w:rPr>
          <w:b/>
          <w:sz w:val="28"/>
          <w:szCs w:val="28"/>
          <w:lang w:val="en-US"/>
        </w:rPr>
        <w:t>.</w:t>
      </w:r>
      <w:r w:rsidRPr="004661E6">
        <w:rPr>
          <w:b/>
          <w:sz w:val="28"/>
          <w:szCs w:val="28"/>
        </w:rPr>
        <w:t>9 </w:t>
      </w:r>
      <w:r w:rsidR="006B45FE">
        <w:rPr>
          <w:sz w:val="28"/>
          <w:szCs w:val="28"/>
          <w:lang w:val="en-US"/>
        </w:rPr>
        <w:t>bn</w:t>
      </w:r>
      <w:r w:rsidRPr="004661E6">
        <w:rPr>
          <w:sz w:val="28"/>
          <w:szCs w:val="28"/>
        </w:rPr>
        <w:t>;</w:t>
      </w:r>
    </w:p>
    <w:p w:rsidR="00B51BA9" w:rsidRPr="004661E6" w:rsidRDefault="00B51BA9" w:rsidP="00B51BA9">
      <w:pPr>
        <w:ind w:firstLine="539"/>
        <w:jc w:val="both"/>
        <w:rPr>
          <w:sz w:val="28"/>
          <w:szCs w:val="28"/>
        </w:rPr>
      </w:pPr>
      <w:r w:rsidRPr="004661E6">
        <w:rPr>
          <w:sz w:val="28"/>
          <w:szCs w:val="28"/>
        </w:rPr>
        <w:t xml:space="preserve">– </w:t>
      </w:r>
      <w:r w:rsidR="006B45FE">
        <w:rPr>
          <w:sz w:val="28"/>
          <w:szCs w:val="28"/>
          <w:lang w:val="en-US"/>
        </w:rPr>
        <w:t>expenses for</w:t>
      </w:r>
      <w:r w:rsidRPr="004661E6">
        <w:rPr>
          <w:sz w:val="28"/>
          <w:szCs w:val="28"/>
        </w:rPr>
        <w:t xml:space="preserve"> </w:t>
      </w:r>
      <w:r w:rsidR="006B45FE">
        <w:rPr>
          <w:b/>
          <w:i/>
          <w:sz w:val="28"/>
          <w:szCs w:val="28"/>
          <w:lang w:val="en-US"/>
        </w:rPr>
        <w:t>humanitarian and physical development</w:t>
      </w:r>
      <w:r w:rsidRPr="004661E6">
        <w:rPr>
          <w:sz w:val="28"/>
          <w:szCs w:val="28"/>
        </w:rPr>
        <w:t xml:space="preserve"> </w:t>
      </w:r>
      <w:r w:rsidR="006B45FE">
        <w:rPr>
          <w:sz w:val="28"/>
          <w:szCs w:val="28"/>
          <w:lang w:val="en-US"/>
        </w:rPr>
        <w:t xml:space="preserve">from the consolidated budget rose by </w:t>
      </w:r>
      <w:r w:rsidRPr="004661E6">
        <w:rPr>
          <w:b/>
          <w:sz w:val="28"/>
          <w:szCs w:val="28"/>
        </w:rPr>
        <w:t>19</w:t>
      </w:r>
      <w:r w:rsidR="006B45FE">
        <w:rPr>
          <w:b/>
          <w:sz w:val="28"/>
          <w:szCs w:val="28"/>
          <w:lang w:val="en-US"/>
        </w:rPr>
        <w:t>.</w:t>
      </w:r>
      <w:r w:rsidRPr="004661E6">
        <w:rPr>
          <w:b/>
          <w:sz w:val="28"/>
          <w:szCs w:val="28"/>
        </w:rPr>
        <w:t>3</w:t>
      </w:r>
      <w:r w:rsidR="006B45FE">
        <w:rPr>
          <w:b/>
          <w:sz w:val="28"/>
          <w:szCs w:val="28"/>
          <w:lang w:val="en-US"/>
        </w:rPr>
        <w:t xml:space="preserve">% </w:t>
      </w:r>
      <w:r w:rsidR="006B45FE">
        <w:rPr>
          <w:sz w:val="28"/>
          <w:szCs w:val="28"/>
          <w:lang w:val="en-US"/>
        </w:rPr>
        <w:t xml:space="preserve">to UAH </w:t>
      </w:r>
      <w:r w:rsidRPr="004661E6">
        <w:rPr>
          <w:b/>
          <w:bCs/>
          <w:sz w:val="28"/>
          <w:szCs w:val="28"/>
          <w:lang w:eastAsia="uk-UA"/>
        </w:rPr>
        <w:t>5</w:t>
      </w:r>
      <w:r w:rsidR="006B45FE">
        <w:rPr>
          <w:b/>
          <w:bCs/>
          <w:sz w:val="28"/>
          <w:szCs w:val="28"/>
          <w:lang w:val="en-US" w:eastAsia="uk-UA"/>
        </w:rPr>
        <w:t>.</w:t>
      </w:r>
      <w:r w:rsidRPr="004661E6">
        <w:rPr>
          <w:b/>
          <w:bCs/>
          <w:sz w:val="28"/>
          <w:szCs w:val="28"/>
          <w:lang w:eastAsia="uk-UA"/>
        </w:rPr>
        <w:t>1 </w:t>
      </w:r>
      <w:r w:rsidR="006B45FE">
        <w:rPr>
          <w:sz w:val="28"/>
          <w:szCs w:val="28"/>
          <w:lang w:val="en-US"/>
        </w:rPr>
        <w:t>bn</w:t>
      </w:r>
      <w:r w:rsidRPr="004661E6">
        <w:rPr>
          <w:sz w:val="28"/>
          <w:szCs w:val="28"/>
        </w:rPr>
        <w:t xml:space="preserve">, </w:t>
      </w:r>
      <w:r w:rsidR="006B45FE">
        <w:rPr>
          <w:sz w:val="28"/>
          <w:szCs w:val="28"/>
          <w:lang w:val="en-US"/>
        </w:rPr>
        <w:t xml:space="preserve">including expenses from the state budget which rose by </w:t>
      </w:r>
      <w:r w:rsidRPr="004661E6">
        <w:rPr>
          <w:b/>
          <w:sz w:val="28"/>
          <w:szCs w:val="28"/>
        </w:rPr>
        <w:t>21</w:t>
      </w:r>
      <w:r w:rsidR="006B45FE">
        <w:rPr>
          <w:b/>
          <w:sz w:val="28"/>
          <w:szCs w:val="28"/>
          <w:lang w:val="en-US"/>
        </w:rPr>
        <w:t>.</w:t>
      </w:r>
      <w:r w:rsidRPr="004661E6">
        <w:rPr>
          <w:b/>
          <w:sz w:val="28"/>
          <w:szCs w:val="28"/>
        </w:rPr>
        <w:t>9</w:t>
      </w:r>
      <w:r w:rsidR="006B45FE">
        <w:rPr>
          <w:b/>
          <w:sz w:val="28"/>
          <w:szCs w:val="28"/>
          <w:lang w:val="en-US"/>
        </w:rPr>
        <w:t>%</w:t>
      </w:r>
      <w:r w:rsidRPr="004661E6">
        <w:rPr>
          <w:sz w:val="28"/>
          <w:szCs w:val="28"/>
        </w:rPr>
        <w:t xml:space="preserve"> </w:t>
      </w:r>
      <w:r w:rsidR="006B45FE">
        <w:rPr>
          <w:sz w:val="28"/>
          <w:szCs w:val="28"/>
          <w:lang w:val="en-US"/>
        </w:rPr>
        <w:t>to UAH</w:t>
      </w:r>
      <w:r w:rsidRPr="004661E6">
        <w:rPr>
          <w:sz w:val="28"/>
          <w:szCs w:val="28"/>
        </w:rPr>
        <w:t xml:space="preserve"> </w:t>
      </w:r>
      <w:r w:rsidRPr="004661E6">
        <w:rPr>
          <w:b/>
          <w:bCs/>
          <w:sz w:val="28"/>
          <w:szCs w:val="28"/>
          <w:lang w:eastAsia="uk-UA"/>
        </w:rPr>
        <w:t>1</w:t>
      </w:r>
      <w:r w:rsidR="006B45FE">
        <w:rPr>
          <w:b/>
          <w:bCs/>
          <w:sz w:val="28"/>
          <w:szCs w:val="28"/>
          <w:lang w:val="en-US" w:eastAsia="uk-UA"/>
        </w:rPr>
        <w:t>.</w:t>
      </w:r>
      <w:r w:rsidRPr="004661E6">
        <w:rPr>
          <w:b/>
          <w:bCs/>
          <w:sz w:val="28"/>
          <w:szCs w:val="28"/>
          <w:lang w:eastAsia="uk-UA"/>
        </w:rPr>
        <w:t>5</w:t>
      </w:r>
      <w:r w:rsidRPr="004661E6">
        <w:rPr>
          <w:rFonts w:ascii="Arial" w:hAnsi="Arial" w:cs="Arial"/>
          <w:b/>
          <w:bCs/>
          <w:sz w:val="24"/>
          <w:szCs w:val="24"/>
          <w:lang w:eastAsia="uk-UA"/>
        </w:rPr>
        <w:t> </w:t>
      </w:r>
      <w:r w:rsidR="006B45FE">
        <w:rPr>
          <w:sz w:val="28"/>
          <w:szCs w:val="28"/>
          <w:lang w:val="en-US"/>
        </w:rPr>
        <w:t>bn</w:t>
      </w:r>
      <w:r w:rsidRPr="004661E6">
        <w:rPr>
          <w:bCs/>
          <w:sz w:val="28"/>
          <w:szCs w:val="28"/>
          <w:lang w:eastAsia="uk-UA"/>
        </w:rPr>
        <w:t>;</w:t>
      </w:r>
    </w:p>
    <w:p w:rsidR="00B51BA9" w:rsidRPr="004661E6" w:rsidRDefault="00B51BA9" w:rsidP="00B51BA9">
      <w:pPr>
        <w:ind w:firstLine="539"/>
        <w:jc w:val="both"/>
        <w:rPr>
          <w:b/>
          <w:sz w:val="28"/>
          <w:szCs w:val="28"/>
        </w:rPr>
      </w:pPr>
      <w:r w:rsidRPr="004661E6">
        <w:rPr>
          <w:sz w:val="28"/>
          <w:szCs w:val="28"/>
        </w:rPr>
        <w:t xml:space="preserve">– </w:t>
      </w:r>
      <w:r w:rsidR="006B45FE">
        <w:rPr>
          <w:sz w:val="28"/>
          <w:szCs w:val="28"/>
          <w:lang w:val="en-US"/>
        </w:rPr>
        <w:t xml:space="preserve">expenses for </w:t>
      </w:r>
      <w:r w:rsidR="006B45FE">
        <w:rPr>
          <w:b/>
          <w:i/>
          <w:sz w:val="28"/>
          <w:szCs w:val="28"/>
          <w:lang w:val="en-US"/>
        </w:rPr>
        <w:t>education</w:t>
      </w:r>
      <w:r w:rsidRPr="004661E6">
        <w:rPr>
          <w:sz w:val="28"/>
          <w:szCs w:val="28"/>
        </w:rPr>
        <w:t xml:space="preserve"> </w:t>
      </w:r>
      <w:r w:rsidR="006B45FE">
        <w:rPr>
          <w:sz w:val="28"/>
          <w:szCs w:val="28"/>
          <w:lang w:val="en-US"/>
        </w:rPr>
        <w:t xml:space="preserve">from the consolidated budget rose by </w:t>
      </w:r>
      <w:r w:rsidRPr="004661E6">
        <w:rPr>
          <w:b/>
          <w:sz w:val="28"/>
          <w:szCs w:val="28"/>
        </w:rPr>
        <w:t>16</w:t>
      </w:r>
      <w:r w:rsidR="006B45FE">
        <w:rPr>
          <w:b/>
          <w:sz w:val="28"/>
          <w:szCs w:val="28"/>
          <w:lang w:val="en-US"/>
        </w:rPr>
        <w:t>.</w:t>
      </w:r>
      <w:r w:rsidRPr="004661E6">
        <w:rPr>
          <w:b/>
          <w:sz w:val="28"/>
          <w:szCs w:val="28"/>
        </w:rPr>
        <w:t>4</w:t>
      </w:r>
      <w:r w:rsidR="006B45FE">
        <w:rPr>
          <w:b/>
          <w:sz w:val="28"/>
          <w:szCs w:val="28"/>
          <w:lang w:val="en-US"/>
        </w:rPr>
        <w:t>%</w:t>
      </w:r>
      <w:r w:rsidRPr="004661E6">
        <w:rPr>
          <w:b/>
          <w:sz w:val="28"/>
          <w:szCs w:val="28"/>
        </w:rPr>
        <w:t xml:space="preserve"> </w:t>
      </w:r>
      <w:r w:rsidR="006B45FE">
        <w:rPr>
          <w:sz w:val="28"/>
          <w:szCs w:val="28"/>
          <w:lang w:val="en-US"/>
        </w:rPr>
        <w:t xml:space="preserve">to UAH </w:t>
      </w:r>
      <w:r w:rsidRPr="004661E6">
        <w:rPr>
          <w:b/>
          <w:bCs/>
          <w:sz w:val="28"/>
          <w:szCs w:val="28"/>
          <w:lang w:eastAsia="uk-UA"/>
        </w:rPr>
        <w:t>44</w:t>
      </w:r>
      <w:r w:rsidR="006B45FE">
        <w:rPr>
          <w:b/>
          <w:bCs/>
          <w:sz w:val="28"/>
          <w:szCs w:val="28"/>
          <w:lang w:val="en-US" w:eastAsia="uk-UA"/>
        </w:rPr>
        <w:t>.</w:t>
      </w:r>
      <w:r w:rsidRPr="004661E6">
        <w:rPr>
          <w:b/>
          <w:bCs/>
          <w:sz w:val="28"/>
          <w:szCs w:val="28"/>
          <w:lang w:eastAsia="uk-UA"/>
        </w:rPr>
        <w:t>5 </w:t>
      </w:r>
      <w:r w:rsidR="006B45FE">
        <w:rPr>
          <w:sz w:val="28"/>
          <w:szCs w:val="28"/>
          <w:lang w:val="en-US"/>
        </w:rPr>
        <w:t xml:space="preserve">bn, including expenses from the state budget which rose by </w:t>
      </w:r>
      <w:r w:rsidRPr="004661E6">
        <w:rPr>
          <w:b/>
          <w:sz w:val="28"/>
          <w:szCs w:val="28"/>
        </w:rPr>
        <w:t>6</w:t>
      </w:r>
      <w:r w:rsidR="006B45FE">
        <w:rPr>
          <w:b/>
          <w:sz w:val="28"/>
          <w:szCs w:val="28"/>
          <w:lang w:val="en-US"/>
        </w:rPr>
        <w:t>.</w:t>
      </w:r>
      <w:r w:rsidRPr="004661E6">
        <w:rPr>
          <w:b/>
          <w:sz w:val="28"/>
          <w:szCs w:val="28"/>
        </w:rPr>
        <w:t>8</w:t>
      </w:r>
      <w:r w:rsidR="006B45FE">
        <w:rPr>
          <w:b/>
          <w:sz w:val="28"/>
          <w:szCs w:val="28"/>
          <w:lang w:val="en-US"/>
        </w:rPr>
        <w:t>%</w:t>
      </w:r>
      <w:r w:rsidRPr="004661E6">
        <w:rPr>
          <w:sz w:val="28"/>
          <w:szCs w:val="28"/>
        </w:rPr>
        <w:t> </w:t>
      </w:r>
      <w:r w:rsidR="006B45FE">
        <w:rPr>
          <w:sz w:val="28"/>
          <w:szCs w:val="28"/>
          <w:lang w:val="en-US"/>
        </w:rPr>
        <w:t xml:space="preserve">to UAH </w:t>
      </w:r>
      <w:r w:rsidRPr="004661E6">
        <w:rPr>
          <w:b/>
          <w:bCs/>
          <w:sz w:val="28"/>
          <w:szCs w:val="28"/>
          <w:lang w:eastAsia="uk-UA"/>
        </w:rPr>
        <w:t>9</w:t>
      </w:r>
      <w:r w:rsidR="006B45FE">
        <w:rPr>
          <w:b/>
          <w:bCs/>
          <w:sz w:val="28"/>
          <w:szCs w:val="28"/>
          <w:lang w:val="en-US" w:eastAsia="uk-UA"/>
        </w:rPr>
        <w:t>.</w:t>
      </w:r>
      <w:r w:rsidRPr="004661E6">
        <w:rPr>
          <w:b/>
          <w:bCs/>
          <w:sz w:val="28"/>
          <w:szCs w:val="28"/>
          <w:lang w:eastAsia="uk-UA"/>
        </w:rPr>
        <w:t>5 </w:t>
      </w:r>
      <w:r w:rsidR="006B45FE">
        <w:rPr>
          <w:sz w:val="28"/>
          <w:szCs w:val="28"/>
          <w:lang w:val="en-US"/>
        </w:rPr>
        <w:t>bn</w:t>
      </w:r>
      <w:r w:rsidRPr="004661E6">
        <w:rPr>
          <w:sz w:val="28"/>
          <w:szCs w:val="28"/>
        </w:rPr>
        <w:t>;</w:t>
      </w:r>
    </w:p>
    <w:p w:rsidR="00B51BA9" w:rsidRPr="004661E6" w:rsidRDefault="00B51BA9" w:rsidP="00B51BA9">
      <w:pPr>
        <w:ind w:firstLine="539"/>
        <w:jc w:val="both"/>
        <w:rPr>
          <w:sz w:val="28"/>
          <w:szCs w:val="28"/>
        </w:rPr>
      </w:pPr>
      <w:r w:rsidRPr="004661E6">
        <w:rPr>
          <w:sz w:val="28"/>
          <w:szCs w:val="28"/>
        </w:rPr>
        <w:lastRenderedPageBreak/>
        <w:t xml:space="preserve">– </w:t>
      </w:r>
      <w:r w:rsidR="006B45FE">
        <w:rPr>
          <w:sz w:val="28"/>
          <w:szCs w:val="28"/>
          <w:lang w:val="en-US"/>
        </w:rPr>
        <w:t xml:space="preserve">expenses for </w:t>
      </w:r>
      <w:r w:rsidR="006B45FE">
        <w:rPr>
          <w:b/>
          <w:i/>
          <w:sz w:val="28"/>
          <w:szCs w:val="28"/>
          <w:lang w:val="en-US"/>
        </w:rPr>
        <w:t>social welfare and social protection</w:t>
      </w:r>
      <w:r w:rsidRPr="004661E6">
        <w:rPr>
          <w:sz w:val="28"/>
          <w:szCs w:val="28"/>
        </w:rPr>
        <w:t xml:space="preserve"> </w:t>
      </w:r>
      <w:r w:rsidR="006B45FE">
        <w:rPr>
          <w:sz w:val="28"/>
          <w:szCs w:val="28"/>
          <w:lang w:val="en-US"/>
        </w:rPr>
        <w:t xml:space="preserve">from the consolidated budget rose by </w:t>
      </w:r>
      <w:r w:rsidRPr="004661E6">
        <w:rPr>
          <w:b/>
          <w:sz w:val="28"/>
          <w:szCs w:val="28"/>
        </w:rPr>
        <w:t>15</w:t>
      </w:r>
      <w:r w:rsidR="006B45FE">
        <w:rPr>
          <w:b/>
          <w:sz w:val="28"/>
          <w:szCs w:val="28"/>
          <w:lang w:val="en-US"/>
        </w:rPr>
        <w:t>.</w:t>
      </w:r>
      <w:r w:rsidRPr="004661E6">
        <w:rPr>
          <w:b/>
          <w:sz w:val="28"/>
          <w:szCs w:val="28"/>
        </w:rPr>
        <w:t>1</w:t>
      </w:r>
      <w:r w:rsidR="006B45FE">
        <w:rPr>
          <w:b/>
          <w:sz w:val="28"/>
          <w:szCs w:val="28"/>
          <w:lang w:val="en-US"/>
        </w:rPr>
        <w:t>%</w:t>
      </w:r>
      <w:r w:rsidRPr="004661E6">
        <w:rPr>
          <w:b/>
          <w:sz w:val="28"/>
          <w:szCs w:val="28"/>
        </w:rPr>
        <w:t> </w:t>
      </w:r>
      <w:r w:rsidR="006B45FE">
        <w:rPr>
          <w:sz w:val="28"/>
          <w:szCs w:val="28"/>
          <w:lang w:val="en-US"/>
        </w:rPr>
        <w:t xml:space="preserve">to UAH </w:t>
      </w:r>
      <w:r w:rsidRPr="004661E6">
        <w:rPr>
          <w:b/>
          <w:bCs/>
          <w:sz w:val="28"/>
          <w:szCs w:val="28"/>
          <w:lang w:eastAsia="uk-UA"/>
        </w:rPr>
        <w:t>87 </w:t>
      </w:r>
      <w:r w:rsidR="006B45FE">
        <w:rPr>
          <w:sz w:val="28"/>
          <w:szCs w:val="28"/>
          <w:lang w:val="en-US"/>
        </w:rPr>
        <w:t>bn</w:t>
      </w:r>
      <w:r w:rsidRPr="004661E6">
        <w:rPr>
          <w:sz w:val="28"/>
          <w:szCs w:val="28"/>
        </w:rPr>
        <w:t xml:space="preserve">, </w:t>
      </w:r>
      <w:r w:rsidR="006B45FE">
        <w:rPr>
          <w:sz w:val="28"/>
          <w:szCs w:val="28"/>
          <w:lang w:val="en-US"/>
        </w:rPr>
        <w:t xml:space="preserve">including expenses from the state budget which increased by </w:t>
      </w:r>
      <w:r w:rsidRPr="004661E6">
        <w:rPr>
          <w:b/>
          <w:sz w:val="28"/>
          <w:szCs w:val="28"/>
        </w:rPr>
        <w:t>36</w:t>
      </w:r>
      <w:r w:rsidR="006B45FE">
        <w:rPr>
          <w:b/>
          <w:sz w:val="28"/>
          <w:szCs w:val="28"/>
          <w:lang w:val="en-US"/>
        </w:rPr>
        <w:t>.</w:t>
      </w:r>
      <w:r w:rsidRPr="004661E6">
        <w:rPr>
          <w:b/>
          <w:sz w:val="28"/>
          <w:szCs w:val="28"/>
        </w:rPr>
        <w:t>8</w:t>
      </w:r>
      <w:r w:rsidR="006B45FE">
        <w:rPr>
          <w:b/>
          <w:sz w:val="28"/>
          <w:szCs w:val="28"/>
          <w:lang w:val="en-US"/>
        </w:rPr>
        <w:t>%</w:t>
      </w:r>
      <w:r w:rsidRPr="004661E6">
        <w:rPr>
          <w:b/>
          <w:sz w:val="28"/>
          <w:szCs w:val="28"/>
        </w:rPr>
        <w:t xml:space="preserve"> </w:t>
      </w:r>
      <w:r w:rsidR="006B45FE">
        <w:rPr>
          <w:sz w:val="28"/>
          <w:szCs w:val="28"/>
          <w:lang w:val="en-US"/>
        </w:rPr>
        <w:t xml:space="preserve">to UAH </w:t>
      </w:r>
      <w:r w:rsidRPr="004661E6">
        <w:rPr>
          <w:b/>
          <w:bCs/>
          <w:sz w:val="28"/>
          <w:szCs w:val="28"/>
          <w:lang w:eastAsia="uk-UA"/>
        </w:rPr>
        <w:t>37</w:t>
      </w:r>
      <w:r w:rsidR="006B45FE">
        <w:rPr>
          <w:b/>
          <w:bCs/>
          <w:sz w:val="28"/>
          <w:szCs w:val="28"/>
          <w:lang w:val="en-US" w:eastAsia="uk-UA"/>
        </w:rPr>
        <w:t>.</w:t>
      </w:r>
      <w:r w:rsidRPr="004661E6">
        <w:rPr>
          <w:b/>
          <w:bCs/>
          <w:sz w:val="28"/>
          <w:szCs w:val="28"/>
          <w:lang w:eastAsia="uk-UA"/>
        </w:rPr>
        <w:t xml:space="preserve">3 </w:t>
      </w:r>
      <w:r w:rsidR="006B45FE">
        <w:rPr>
          <w:sz w:val="28"/>
          <w:szCs w:val="28"/>
          <w:lang w:val="en-US"/>
        </w:rPr>
        <w:t>bn</w:t>
      </w:r>
      <w:r w:rsidRPr="004661E6">
        <w:rPr>
          <w:sz w:val="28"/>
          <w:szCs w:val="28"/>
        </w:rPr>
        <w:t>.</w:t>
      </w:r>
    </w:p>
    <w:p w:rsidR="00B51BA9" w:rsidRPr="004661E6" w:rsidRDefault="00FA0EEE" w:rsidP="006B45FE">
      <w:pPr>
        <w:pStyle w:val="2"/>
        <w:ind w:firstLine="0"/>
        <w:rPr>
          <w:szCs w:val="28"/>
        </w:rPr>
      </w:pPr>
      <w:r>
        <w:rPr>
          <w:szCs w:val="28"/>
          <w:lang w:val="en-US"/>
        </w:rPr>
        <w:t xml:space="preserve">In January-March </w:t>
      </w:r>
      <w:r w:rsidR="00B51BA9" w:rsidRPr="004661E6">
        <w:rPr>
          <w:szCs w:val="28"/>
        </w:rPr>
        <w:t>2018</w:t>
      </w:r>
      <w:r w:rsidR="00D644C7">
        <w:rPr>
          <w:szCs w:val="28"/>
          <w:lang w:val="en-US"/>
        </w:rPr>
        <w:t xml:space="preserve">, </w:t>
      </w:r>
      <w:r w:rsidR="00D644C7" w:rsidRPr="00D644C7">
        <w:rPr>
          <w:b/>
          <w:szCs w:val="28"/>
          <w:lang w:val="en-US"/>
        </w:rPr>
        <w:t>transfers</w:t>
      </w:r>
      <w:r w:rsidR="00D644C7">
        <w:rPr>
          <w:szCs w:val="28"/>
          <w:lang w:val="en-US"/>
        </w:rPr>
        <w:t xml:space="preserve"> from the state budget to local budgets were </w:t>
      </w:r>
      <w:proofErr w:type="gramStart"/>
      <w:r w:rsidR="00D644C7">
        <w:rPr>
          <w:szCs w:val="28"/>
          <w:lang w:val="en-US"/>
        </w:rPr>
        <w:t>effected</w:t>
      </w:r>
      <w:proofErr w:type="gramEnd"/>
      <w:r w:rsidR="00D644C7">
        <w:rPr>
          <w:szCs w:val="28"/>
          <w:lang w:val="en-US"/>
        </w:rPr>
        <w:t xml:space="preserve"> in full according to the actually registered allotments and amounted UAH </w:t>
      </w:r>
      <w:r w:rsidR="00D644C7" w:rsidRPr="00D644C7">
        <w:rPr>
          <w:b/>
          <w:szCs w:val="28"/>
          <w:lang w:val="en-US"/>
        </w:rPr>
        <w:t>83.9</w:t>
      </w:r>
      <w:r w:rsidR="00D644C7">
        <w:rPr>
          <w:szCs w:val="28"/>
          <w:lang w:val="en-US"/>
        </w:rPr>
        <w:t xml:space="preserve"> bn, including</w:t>
      </w:r>
      <w:r w:rsidR="00B51BA9" w:rsidRPr="004661E6">
        <w:rPr>
          <w:szCs w:val="28"/>
        </w:rPr>
        <w:t>:</w:t>
      </w:r>
    </w:p>
    <w:p w:rsidR="00B51BA9" w:rsidRPr="004661E6" w:rsidRDefault="00B51BA9" w:rsidP="00B51BA9">
      <w:pPr>
        <w:pStyle w:val="2"/>
        <w:ind w:firstLine="567"/>
        <w:rPr>
          <w:szCs w:val="28"/>
        </w:rPr>
      </w:pPr>
      <w:r w:rsidRPr="004661E6">
        <w:rPr>
          <w:szCs w:val="28"/>
        </w:rPr>
        <w:t xml:space="preserve">- </w:t>
      </w:r>
      <w:r w:rsidR="00D644C7">
        <w:rPr>
          <w:szCs w:val="28"/>
          <w:lang w:val="en-US"/>
        </w:rPr>
        <w:t>social welfare subventions</w:t>
      </w:r>
      <w:r w:rsidRPr="004661E6">
        <w:rPr>
          <w:szCs w:val="28"/>
        </w:rPr>
        <w:t xml:space="preserve"> –</w:t>
      </w:r>
      <w:r w:rsidR="00D644C7">
        <w:rPr>
          <w:szCs w:val="28"/>
          <w:lang w:val="en-US"/>
        </w:rPr>
        <w:t xml:space="preserve"> UAH</w:t>
      </w:r>
      <w:r w:rsidRPr="004661E6">
        <w:rPr>
          <w:szCs w:val="28"/>
        </w:rPr>
        <w:t xml:space="preserve"> </w:t>
      </w:r>
      <w:r w:rsidRPr="004661E6">
        <w:rPr>
          <w:b/>
          <w:szCs w:val="28"/>
        </w:rPr>
        <w:t>47</w:t>
      </w:r>
      <w:r w:rsidR="00D644C7">
        <w:rPr>
          <w:b/>
          <w:szCs w:val="28"/>
          <w:lang w:val="en-US"/>
        </w:rPr>
        <w:t>.</w:t>
      </w:r>
      <w:r w:rsidRPr="004661E6">
        <w:rPr>
          <w:b/>
          <w:szCs w:val="28"/>
        </w:rPr>
        <w:t>2</w:t>
      </w:r>
      <w:r w:rsidRPr="004661E6">
        <w:rPr>
          <w:szCs w:val="28"/>
        </w:rPr>
        <w:t xml:space="preserve"> </w:t>
      </w:r>
      <w:r w:rsidR="00D644C7">
        <w:rPr>
          <w:szCs w:val="28"/>
          <w:lang w:val="en-US"/>
        </w:rPr>
        <w:t>bn</w:t>
      </w:r>
      <w:r w:rsidRPr="004661E6">
        <w:rPr>
          <w:szCs w:val="28"/>
        </w:rPr>
        <w:t>;</w:t>
      </w:r>
    </w:p>
    <w:p w:rsidR="00B51BA9" w:rsidRPr="004661E6" w:rsidRDefault="00B51BA9" w:rsidP="00B51BA9">
      <w:pPr>
        <w:pStyle w:val="2"/>
        <w:ind w:firstLine="567"/>
        <w:rPr>
          <w:szCs w:val="28"/>
        </w:rPr>
      </w:pPr>
      <w:r w:rsidRPr="004661E6">
        <w:rPr>
          <w:szCs w:val="28"/>
        </w:rPr>
        <w:t xml:space="preserve">- </w:t>
      </w:r>
      <w:r w:rsidR="00D644C7">
        <w:rPr>
          <w:szCs w:val="28"/>
          <w:lang w:val="en-US"/>
        </w:rPr>
        <w:t>healthcare subvention</w:t>
      </w:r>
      <w:r w:rsidRPr="004661E6">
        <w:rPr>
          <w:szCs w:val="28"/>
        </w:rPr>
        <w:t xml:space="preserve"> –</w:t>
      </w:r>
      <w:r w:rsidR="00D644C7">
        <w:rPr>
          <w:szCs w:val="28"/>
          <w:lang w:val="en-US"/>
        </w:rPr>
        <w:t xml:space="preserve"> UAH</w:t>
      </w:r>
      <w:r w:rsidRPr="004661E6">
        <w:rPr>
          <w:szCs w:val="28"/>
        </w:rPr>
        <w:t xml:space="preserve"> </w:t>
      </w:r>
      <w:r w:rsidRPr="004661E6">
        <w:rPr>
          <w:b/>
          <w:szCs w:val="28"/>
        </w:rPr>
        <w:t>15</w:t>
      </w:r>
      <w:r w:rsidR="00D644C7">
        <w:rPr>
          <w:b/>
          <w:szCs w:val="28"/>
          <w:lang w:val="en-US"/>
        </w:rPr>
        <w:t>.</w:t>
      </w:r>
      <w:r w:rsidRPr="004661E6">
        <w:rPr>
          <w:b/>
          <w:szCs w:val="28"/>
        </w:rPr>
        <w:t xml:space="preserve">3 </w:t>
      </w:r>
      <w:r w:rsidR="00D644C7">
        <w:rPr>
          <w:szCs w:val="28"/>
          <w:lang w:val="en-US"/>
        </w:rPr>
        <w:t>bn</w:t>
      </w:r>
      <w:r w:rsidRPr="004661E6">
        <w:rPr>
          <w:szCs w:val="28"/>
        </w:rPr>
        <w:t>;</w:t>
      </w:r>
    </w:p>
    <w:p w:rsidR="00B51BA9" w:rsidRPr="004661E6" w:rsidRDefault="00B51BA9" w:rsidP="00B51BA9">
      <w:pPr>
        <w:pStyle w:val="2"/>
        <w:ind w:firstLine="567"/>
        <w:rPr>
          <w:szCs w:val="28"/>
        </w:rPr>
      </w:pPr>
      <w:r w:rsidRPr="004661E6">
        <w:rPr>
          <w:szCs w:val="28"/>
        </w:rPr>
        <w:t xml:space="preserve">- </w:t>
      </w:r>
      <w:r w:rsidR="00D644C7">
        <w:rPr>
          <w:szCs w:val="28"/>
          <w:lang w:val="en-US"/>
        </w:rPr>
        <w:t>education subvention</w:t>
      </w:r>
      <w:r w:rsidRPr="004661E6">
        <w:rPr>
          <w:szCs w:val="28"/>
        </w:rPr>
        <w:t xml:space="preserve"> –</w:t>
      </w:r>
      <w:r w:rsidR="00D644C7">
        <w:rPr>
          <w:szCs w:val="28"/>
          <w:lang w:val="en-US"/>
        </w:rPr>
        <w:t xml:space="preserve"> UAH</w:t>
      </w:r>
      <w:r w:rsidRPr="004661E6">
        <w:rPr>
          <w:szCs w:val="28"/>
        </w:rPr>
        <w:t xml:space="preserve"> </w:t>
      </w:r>
      <w:r w:rsidRPr="004661E6">
        <w:rPr>
          <w:b/>
          <w:szCs w:val="28"/>
        </w:rPr>
        <w:t>13</w:t>
      </w:r>
      <w:r w:rsidR="00D644C7">
        <w:rPr>
          <w:b/>
          <w:szCs w:val="28"/>
          <w:lang w:val="en-US"/>
        </w:rPr>
        <w:t>.</w:t>
      </w:r>
      <w:r w:rsidRPr="004661E6">
        <w:rPr>
          <w:b/>
          <w:szCs w:val="28"/>
        </w:rPr>
        <w:t>8 </w:t>
      </w:r>
      <w:r w:rsidR="00D644C7">
        <w:rPr>
          <w:szCs w:val="28"/>
          <w:lang w:val="en-US"/>
        </w:rPr>
        <w:t>bn</w:t>
      </w:r>
      <w:r w:rsidRPr="004661E6">
        <w:rPr>
          <w:szCs w:val="28"/>
        </w:rPr>
        <w:t>;</w:t>
      </w:r>
    </w:p>
    <w:p w:rsidR="00B51BA9" w:rsidRPr="004661E6" w:rsidRDefault="00B51BA9" w:rsidP="00B51BA9">
      <w:pPr>
        <w:pStyle w:val="2"/>
        <w:ind w:firstLine="567"/>
        <w:rPr>
          <w:szCs w:val="28"/>
        </w:rPr>
      </w:pPr>
      <w:r w:rsidRPr="004661E6">
        <w:rPr>
          <w:szCs w:val="28"/>
        </w:rPr>
        <w:t xml:space="preserve">- </w:t>
      </w:r>
      <w:r w:rsidR="00D644C7">
        <w:rPr>
          <w:szCs w:val="28"/>
          <w:lang w:val="en-US"/>
        </w:rPr>
        <w:t xml:space="preserve">basic subsidy to strengthen the tax capacity of the local budgets </w:t>
      </w:r>
      <w:r w:rsidRPr="004661E6">
        <w:rPr>
          <w:szCs w:val="28"/>
        </w:rPr>
        <w:t>–</w:t>
      </w:r>
      <w:r w:rsidR="00D644C7">
        <w:rPr>
          <w:szCs w:val="28"/>
          <w:lang w:val="en-US"/>
        </w:rPr>
        <w:t xml:space="preserve"> UAH</w:t>
      </w:r>
      <w:r w:rsidRPr="004661E6">
        <w:rPr>
          <w:szCs w:val="28"/>
        </w:rPr>
        <w:t xml:space="preserve"> </w:t>
      </w:r>
      <w:r w:rsidRPr="004661E6">
        <w:rPr>
          <w:b/>
          <w:szCs w:val="28"/>
        </w:rPr>
        <w:t xml:space="preserve">2 </w:t>
      </w:r>
      <w:r w:rsidR="00D644C7">
        <w:rPr>
          <w:szCs w:val="28"/>
          <w:lang w:val="en-US"/>
        </w:rPr>
        <w:t>bn</w:t>
      </w:r>
      <w:r w:rsidRPr="004661E6">
        <w:rPr>
          <w:szCs w:val="28"/>
        </w:rPr>
        <w:t>.</w:t>
      </w:r>
    </w:p>
    <w:p w:rsidR="00B51BA9" w:rsidRPr="004661E6" w:rsidRDefault="00D644C7" w:rsidP="00D644C7">
      <w:pPr>
        <w:pStyle w:val="2"/>
        <w:ind w:firstLine="0"/>
        <w:rPr>
          <w:szCs w:val="28"/>
        </w:rPr>
      </w:pPr>
      <w:r>
        <w:rPr>
          <w:szCs w:val="28"/>
          <w:lang w:val="en-US"/>
        </w:rPr>
        <w:t xml:space="preserve">Revenues of the state budget from </w:t>
      </w:r>
      <w:r w:rsidRPr="00D644C7">
        <w:rPr>
          <w:b/>
          <w:szCs w:val="28"/>
          <w:lang w:val="en-US"/>
        </w:rPr>
        <w:t>loan re-payment</w:t>
      </w:r>
      <w:r>
        <w:rPr>
          <w:szCs w:val="28"/>
          <w:lang w:val="en-US"/>
        </w:rPr>
        <w:t xml:space="preserve"> in January-March 2018 amounted UAH</w:t>
      </w:r>
      <w:r w:rsidR="00B51BA9" w:rsidRPr="004661E6">
        <w:rPr>
          <w:szCs w:val="28"/>
        </w:rPr>
        <w:t xml:space="preserve"> </w:t>
      </w:r>
      <w:r w:rsidR="00B51BA9" w:rsidRPr="004661E6">
        <w:rPr>
          <w:b/>
          <w:szCs w:val="28"/>
        </w:rPr>
        <w:t>1</w:t>
      </w:r>
      <w:r>
        <w:rPr>
          <w:b/>
          <w:szCs w:val="28"/>
          <w:lang w:val="en-US"/>
        </w:rPr>
        <w:t>.</w:t>
      </w:r>
      <w:r w:rsidR="00B51BA9" w:rsidRPr="004661E6">
        <w:rPr>
          <w:b/>
          <w:szCs w:val="28"/>
        </w:rPr>
        <w:t xml:space="preserve">5 </w:t>
      </w:r>
      <w:r>
        <w:rPr>
          <w:szCs w:val="28"/>
          <w:lang w:val="en-US"/>
        </w:rPr>
        <w:t xml:space="preserve">bn including UAH </w:t>
      </w:r>
      <w:r w:rsidRPr="00D644C7">
        <w:rPr>
          <w:b/>
          <w:szCs w:val="28"/>
          <w:lang w:val="en-US"/>
        </w:rPr>
        <w:t>1.4</w:t>
      </w:r>
      <w:r>
        <w:rPr>
          <w:szCs w:val="28"/>
          <w:lang w:val="en-US"/>
        </w:rPr>
        <w:t xml:space="preserve"> bn for the general fund</w:t>
      </w:r>
      <w:r w:rsidR="00B51BA9" w:rsidRPr="004661E6">
        <w:rPr>
          <w:szCs w:val="28"/>
        </w:rPr>
        <w:t>.</w:t>
      </w:r>
    </w:p>
    <w:p w:rsidR="00B51BA9" w:rsidRPr="004661E6" w:rsidRDefault="007740E8" w:rsidP="007740E8">
      <w:pPr>
        <w:pStyle w:val="2"/>
        <w:spacing w:after="120"/>
        <w:ind w:firstLine="0"/>
        <w:rPr>
          <w:szCs w:val="28"/>
        </w:rPr>
      </w:pPr>
      <w:r>
        <w:rPr>
          <w:szCs w:val="28"/>
          <w:lang w:val="en-US"/>
        </w:rPr>
        <w:t>In January-March</w:t>
      </w:r>
      <w:r w:rsidR="00B51BA9" w:rsidRPr="004661E6">
        <w:rPr>
          <w:szCs w:val="28"/>
        </w:rPr>
        <w:t xml:space="preserve"> 2018</w:t>
      </w:r>
      <w:r>
        <w:rPr>
          <w:szCs w:val="28"/>
          <w:lang w:val="en-US"/>
        </w:rPr>
        <w:t xml:space="preserve">, </w:t>
      </w:r>
      <w:r w:rsidRPr="007740E8">
        <w:rPr>
          <w:b/>
          <w:szCs w:val="28"/>
          <w:lang w:val="en-US"/>
        </w:rPr>
        <w:t>loans</w:t>
      </w:r>
      <w:r>
        <w:rPr>
          <w:szCs w:val="28"/>
          <w:lang w:val="en-US"/>
        </w:rPr>
        <w:t xml:space="preserve"> from the state budget amounted UAH </w:t>
      </w:r>
      <w:r w:rsidRPr="007740E8">
        <w:rPr>
          <w:b/>
          <w:szCs w:val="28"/>
          <w:lang w:val="en-US"/>
        </w:rPr>
        <w:t>1.3</w:t>
      </w:r>
      <w:r>
        <w:rPr>
          <w:szCs w:val="28"/>
          <w:lang w:val="en-US"/>
        </w:rPr>
        <w:t xml:space="preserve"> bn including UAH </w:t>
      </w:r>
      <w:r w:rsidRPr="007740E8">
        <w:rPr>
          <w:b/>
          <w:szCs w:val="28"/>
          <w:lang w:val="en-US"/>
        </w:rPr>
        <w:t>0.4</w:t>
      </w:r>
      <w:r>
        <w:rPr>
          <w:szCs w:val="28"/>
          <w:lang w:val="en-US"/>
        </w:rPr>
        <w:t xml:space="preserve"> bn from the general fund</w:t>
      </w:r>
      <w:r w:rsidR="00B51BA9" w:rsidRPr="004661E6">
        <w:rPr>
          <w:szCs w:val="28"/>
        </w:rPr>
        <w:t>.</w:t>
      </w:r>
    </w:p>
    <w:p w:rsidR="00892C98" w:rsidRPr="004661E6" w:rsidRDefault="007740E8" w:rsidP="007740E8">
      <w:pPr>
        <w:pStyle w:val="2"/>
        <w:spacing w:after="60"/>
        <w:ind w:firstLine="0"/>
        <w:rPr>
          <w:b/>
          <w:szCs w:val="28"/>
        </w:rPr>
      </w:pPr>
      <w:r>
        <w:rPr>
          <w:b/>
          <w:sz w:val="32"/>
          <w:szCs w:val="32"/>
          <w:u w:val="single"/>
          <w:lang w:val="en-US"/>
        </w:rPr>
        <w:t>FUNDING</w:t>
      </w:r>
    </w:p>
    <w:p w:rsidR="003C585B" w:rsidRPr="004661E6" w:rsidRDefault="007740E8" w:rsidP="007740E8">
      <w:pPr>
        <w:jc w:val="both"/>
        <w:rPr>
          <w:sz w:val="28"/>
        </w:rPr>
      </w:pPr>
      <w:r>
        <w:rPr>
          <w:b/>
          <w:i/>
          <w:sz w:val="28"/>
          <w:lang w:val="en-US"/>
        </w:rPr>
        <w:t xml:space="preserve">The consolidated budget </w:t>
      </w:r>
      <w:r>
        <w:rPr>
          <w:i/>
          <w:sz w:val="28"/>
          <w:lang w:val="en-US"/>
        </w:rPr>
        <w:t>in Q1 of 2</w:t>
      </w:r>
      <w:r w:rsidR="003C585B" w:rsidRPr="004661E6">
        <w:rPr>
          <w:i/>
          <w:sz w:val="28"/>
        </w:rPr>
        <w:t>01</w:t>
      </w:r>
      <w:r w:rsidR="003C585B" w:rsidRPr="004661E6">
        <w:rPr>
          <w:i/>
          <w:sz w:val="28"/>
          <w:lang w:val="ru-RU"/>
        </w:rPr>
        <w:t>8</w:t>
      </w:r>
      <w:r w:rsidR="003C585B" w:rsidRPr="004661E6">
        <w:rPr>
          <w:i/>
          <w:sz w:val="28"/>
        </w:rPr>
        <w:t> </w:t>
      </w:r>
      <w:r>
        <w:rPr>
          <w:i/>
          <w:sz w:val="28"/>
          <w:lang w:val="en-US"/>
        </w:rPr>
        <w:t xml:space="preserve">had a deficit amounting UAH </w:t>
      </w:r>
      <w:r w:rsidRPr="007740E8">
        <w:rPr>
          <w:b/>
          <w:i/>
          <w:sz w:val="28"/>
          <w:lang w:val="en-US"/>
        </w:rPr>
        <w:t>3.0</w:t>
      </w:r>
      <w:r>
        <w:rPr>
          <w:i/>
          <w:sz w:val="28"/>
          <w:lang w:val="en-US"/>
        </w:rPr>
        <w:t xml:space="preserve"> bn</w:t>
      </w:r>
      <w:r w:rsidR="003C585B" w:rsidRPr="004661E6">
        <w:rPr>
          <w:i/>
          <w:sz w:val="28"/>
        </w:rPr>
        <w:t>.</w:t>
      </w:r>
    </w:p>
    <w:p w:rsidR="00892C98" w:rsidRPr="004661E6" w:rsidRDefault="007740E8" w:rsidP="007740E8">
      <w:pPr>
        <w:jc w:val="both"/>
        <w:rPr>
          <w:sz w:val="28"/>
        </w:rPr>
      </w:pPr>
      <w:r>
        <w:rPr>
          <w:sz w:val="28"/>
          <w:lang w:val="en-US"/>
        </w:rPr>
        <w:t xml:space="preserve">In Q1 of 2018, the </w:t>
      </w:r>
      <w:r>
        <w:rPr>
          <w:b/>
          <w:sz w:val="28"/>
          <w:lang w:val="en-US"/>
        </w:rPr>
        <w:t>state budget</w:t>
      </w:r>
      <w:r w:rsidR="00892C98" w:rsidRPr="004661E6">
        <w:rPr>
          <w:sz w:val="28"/>
        </w:rPr>
        <w:t xml:space="preserve"> </w:t>
      </w:r>
      <w:r>
        <w:rPr>
          <w:sz w:val="28"/>
          <w:lang w:val="en-US"/>
        </w:rPr>
        <w:t xml:space="preserve">had a deficit amounting UAH </w:t>
      </w:r>
      <w:r w:rsidR="00892C98" w:rsidRPr="004661E6">
        <w:rPr>
          <w:b/>
          <w:sz w:val="28"/>
        </w:rPr>
        <w:t>20</w:t>
      </w:r>
      <w:r>
        <w:rPr>
          <w:b/>
          <w:sz w:val="28"/>
          <w:lang w:val="en-US"/>
        </w:rPr>
        <w:t>.</w:t>
      </w:r>
      <w:r w:rsidR="00892C98" w:rsidRPr="004661E6">
        <w:rPr>
          <w:b/>
          <w:sz w:val="28"/>
        </w:rPr>
        <w:t>6 </w:t>
      </w:r>
      <w:r>
        <w:rPr>
          <w:sz w:val="28"/>
          <w:lang w:val="en-US"/>
        </w:rPr>
        <w:t>bn</w:t>
      </w:r>
      <w:r w:rsidR="00892C98" w:rsidRPr="004661E6">
        <w:rPr>
          <w:sz w:val="28"/>
        </w:rPr>
        <w:t xml:space="preserve">, </w:t>
      </w:r>
      <w:r>
        <w:rPr>
          <w:sz w:val="28"/>
          <w:lang w:val="en-US"/>
        </w:rPr>
        <w:t xml:space="preserve">including the deficit of the </w:t>
      </w:r>
      <w:r w:rsidRPr="007740E8">
        <w:rPr>
          <w:b/>
          <w:sz w:val="28"/>
          <w:lang w:val="en-US"/>
        </w:rPr>
        <w:t>general fund</w:t>
      </w:r>
      <w:r>
        <w:rPr>
          <w:sz w:val="28"/>
          <w:lang w:val="en-US"/>
        </w:rPr>
        <w:t xml:space="preserve"> amounting UAH </w:t>
      </w:r>
      <w:r w:rsidRPr="007740E8">
        <w:rPr>
          <w:b/>
          <w:sz w:val="28"/>
          <w:lang w:val="en-US"/>
        </w:rPr>
        <w:t>25.5</w:t>
      </w:r>
      <w:r>
        <w:rPr>
          <w:sz w:val="28"/>
          <w:lang w:val="en-US"/>
        </w:rPr>
        <w:t xml:space="preserve"> bn compared to the planned deficit for this period set at UAH </w:t>
      </w:r>
      <w:r w:rsidRPr="007740E8">
        <w:rPr>
          <w:b/>
          <w:sz w:val="28"/>
          <w:lang w:val="en-US"/>
        </w:rPr>
        <w:t>38.9</w:t>
      </w:r>
      <w:r>
        <w:rPr>
          <w:sz w:val="28"/>
          <w:lang w:val="en-US"/>
        </w:rPr>
        <w:t xml:space="preserve"> bn</w:t>
      </w:r>
      <w:r w:rsidR="00892C98" w:rsidRPr="004661E6">
        <w:rPr>
          <w:sz w:val="28"/>
        </w:rPr>
        <w:t>.</w:t>
      </w:r>
    </w:p>
    <w:p w:rsidR="00892C98" w:rsidRPr="004661E6" w:rsidRDefault="007740E8" w:rsidP="007740E8">
      <w:pPr>
        <w:pStyle w:val="31"/>
        <w:rPr>
          <w:szCs w:val="28"/>
        </w:rPr>
      </w:pPr>
      <w:r>
        <w:rPr>
          <w:szCs w:val="28"/>
          <w:lang w:val="en-US"/>
        </w:rPr>
        <w:t xml:space="preserve">In Q1 of </w:t>
      </w:r>
      <w:r w:rsidR="00892C98" w:rsidRPr="004661E6">
        <w:rPr>
          <w:szCs w:val="28"/>
        </w:rPr>
        <w:t>201</w:t>
      </w:r>
      <w:r w:rsidR="00892C98" w:rsidRPr="004661E6">
        <w:rPr>
          <w:szCs w:val="28"/>
          <w:lang w:val="ru-RU"/>
        </w:rPr>
        <w:t>8</w:t>
      </w:r>
      <w:r>
        <w:rPr>
          <w:szCs w:val="28"/>
          <w:lang w:val="en-US"/>
        </w:rPr>
        <w:t xml:space="preserve">, UAH </w:t>
      </w:r>
      <w:r w:rsidRPr="007740E8">
        <w:rPr>
          <w:b/>
          <w:szCs w:val="28"/>
          <w:lang w:val="en-US"/>
        </w:rPr>
        <w:t>56.9</w:t>
      </w:r>
      <w:r>
        <w:rPr>
          <w:szCs w:val="28"/>
          <w:lang w:val="en-US"/>
        </w:rPr>
        <w:t xml:space="preserve"> bn were </w:t>
      </w:r>
      <w:r w:rsidRPr="007740E8">
        <w:rPr>
          <w:b/>
          <w:i/>
          <w:szCs w:val="28"/>
          <w:lang w:val="en-US"/>
        </w:rPr>
        <w:t>spent for the re-payment of the public debt</w:t>
      </w:r>
      <w:r w:rsidR="00892C98" w:rsidRPr="004661E6">
        <w:rPr>
          <w:szCs w:val="28"/>
        </w:rPr>
        <w:t xml:space="preserve">. </w:t>
      </w:r>
      <w:r>
        <w:rPr>
          <w:szCs w:val="28"/>
          <w:lang w:val="en-US"/>
        </w:rPr>
        <w:t xml:space="preserve">Re-payment of the domestic debt amounted UAH </w:t>
      </w:r>
      <w:r w:rsidR="00892C98" w:rsidRPr="004661E6">
        <w:rPr>
          <w:b/>
          <w:bCs/>
          <w:szCs w:val="28"/>
        </w:rPr>
        <w:t>47</w:t>
      </w:r>
      <w:r>
        <w:rPr>
          <w:b/>
          <w:bCs/>
          <w:szCs w:val="28"/>
          <w:lang w:val="en-US"/>
        </w:rPr>
        <w:t>.</w:t>
      </w:r>
      <w:r w:rsidR="00892C98" w:rsidRPr="004661E6">
        <w:rPr>
          <w:b/>
          <w:bCs/>
          <w:szCs w:val="28"/>
        </w:rPr>
        <w:t>6 </w:t>
      </w:r>
      <w:r>
        <w:rPr>
          <w:szCs w:val="28"/>
          <w:lang w:val="en-US"/>
        </w:rPr>
        <w:t xml:space="preserve">bn, re-payment of the external debt amounted UAH </w:t>
      </w:r>
      <w:r w:rsidR="00892C98" w:rsidRPr="004661E6">
        <w:rPr>
          <w:b/>
          <w:bCs/>
          <w:szCs w:val="28"/>
        </w:rPr>
        <w:t>9</w:t>
      </w:r>
      <w:r>
        <w:rPr>
          <w:b/>
          <w:bCs/>
          <w:szCs w:val="28"/>
          <w:lang w:val="en-US"/>
        </w:rPr>
        <w:t>.</w:t>
      </w:r>
      <w:r w:rsidR="00892C98" w:rsidRPr="004661E6">
        <w:rPr>
          <w:b/>
          <w:bCs/>
          <w:szCs w:val="28"/>
        </w:rPr>
        <w:t>3</w:t>
      </w:r>
      <w:r w:rsidR="00892C98" w:rsidRPr="004661E6">
        <w:rPr>
          <w:szCs w:val="28"/>
        </w:rPr>
        <w:t> </w:t>
      </w:r>
      <w:r>
        <w:rPr>
          <w:szCs w:val="28"/>
          <w:lang w:val="en-US"/>
        </w:rPr>
        <w:t>bn</w:t>
      </w:r>
      <w:r w:rsidR="00892C98" w:rsidRPr="004661E6">
        <w:rPr>
          <w:szCs w:val="28"/>
        </w:rPr>
        <w:t>.</w:t>
      </w:r>
    </w:p>
    <w:p w:rsidR="00892C98" w:rsidRPr="004661E6" w:rsidRDefault="00366BC6" w:rsidP="007740E8">
      <w:pPr>
        <w:pStyle w:val="31"/>
        <w:rPr>
          <w:szCs w:val="28"/>
        </w:rPr>
      </w:pPr>
      <w:r>
        <w:rPr>
          <w:b/>
          <w:i/>
          <w:szCs w:val="28"/>
          <w:lang w:val="en-US"/>
        </w:rPr>
        <w:t xml:space="preserve">To cover the deficit of the state budget, the Government </w:t>
      </w:r>
      <w:r>
        <w:rPr>
          <w:szCs w:val="28"/>
          <w:lang w:val="en-US"/>
        </w:rPr>
        <w:t xml:space="preserve">took loans </w:t>
      </w:r>
      <w:r w:rsidRPr="00366BC6">
        <w:rPr>
          <w:i/>
          <w:szCs w:val="28"/>
          <w:lang w:val="en-US"/>
        </w:rPr>
        <w:t>on the domestic market</w:t>
      </w:r>
      <w:r>
        <w:rPr>
          <w:szCs w:val="28"/>
          <w:lang w:val="en-US"/>
        </w:rPr>
        <w:t xml:space="preserve"> amounting UAH </w:t>
      </w:r>
      <w:r w:rsidR="00892C98" w:rsidRPr="004661E6">
        <w:rPr>
          <w:b/>
          <w:szCs w:val="28"/>
        </w:rPr>
        <w:t>49</w:t>
      </w:r>
      <w:r>
        <w:rPr>
          <w:b/>
          <w:szCs w:val="28"/>
          <w:lang w:val="en-US"/>
        </w:rPr>
        <w:t>.</w:t>
      </w:r>
      <w:r w:rsidR="00892C98" w:rsidRPr="004661E6">
        <w:rPr>
          <w:b/>
          <w:szCs w:val="28"/>
        </w:rPr>
        <w:t>7</w:t>
      </w:r>
      <w:r w:rsidR="00892C98" w:rsidRPr="004661E6">
        <w:rPr>
          <w:szCs w:val="28"/>
        </w:rPr>
        <w:t> </w:t>
      </w:r>
      <w:r>
        <w:rPr>
          <w:szCs w:val="28"/>
          <w:lang w:val="en-US"/>
        </w:rPr>
        <w:t>bn</w:t>
      </w:r>
      <w:r w:rsidR="00892C98" w:rsidRPr="004661E6">
        <w:rPr>
          <w:szCs w:val="28"/>
        </w:rPr>
        <w:t xml:space="preserve">. </w:t>
      </w:r>
      <w:r>
        <w:rPr>
          <w:szCs w:val="28"/>
          <w:lang w:val="en-US"/>
        </w:rPr>
        <w:t xml:space="preserve">Loans received for the special fund of the state budget from </w:t>
      </w:r>
      <w:r w:rsidRPr="00366BC6">
        <w:rPr>
          <w:i/>
          <w:szCs w:val="28"/>
          <w:lang w:val="en-US"/>
        </w:rPr>
        <w:t>external sources</w:t>
      </w:r>
      <w:r>
        <w:rPr>
          <w:szCs w:val="28"/>
          <w:lang w:val="en-US"/>
        </w:rPr>
        <w:t xml:space="preserve"> amounted UAH</w:t>
      </w:r>
      <w:r w:rsidR="00892C98" w:rsidRPr="004661E6">
        <w:rPr>
          <w:szCs w:val="28"/>
        </w:rPr>
        <w:t xml:space="preserve"> </w:t>
      </w:r>
      <w:r w:rsidR="00892C98" w:rsidRPr="004661E6">
        <w:rPr>
          <w:b/>
          <w:szCs w:val="28"/>
        </w:rPr>
        <w:t>0</w:t>
      </w:r>
      <w:r>
        <w:rPr>
          <w:b/>
          <w:szCs w:val="28"/>
          <w:lang w:val="en-US"/>
        </w:rPr>
        <w:t>.</w:t>
      </w:r>
      <w:r w:rsidR="00892C98" w:rsidRPr="004661E6">
        <w:rPr>
          <w:b/>
          <w:szCs w:val="28"/>
        </w:rPr>
        <w:t>9</w:t>
      </w:r>
      <w:r w:rsidR="00892C98" w:rsidRPr="004661E6">
        <w:rPr>
          <w:szCs w:val="28"/>
        </w:rPr>
        <w:t> </w:t>
      </w:r>
      <w:r>
        <w:rPr>
          <w:szCs w:val="28"/>
          <w:lang w:val="en-US"/>
        </w:rPr>
        <w:t>bn. These funds were assigned to finance projects from international financial organizations</w:t>
      </w:r>
      <w:bookmarkStart w:id="0" w:name="_GoBack"/>
      <w:bookmarkEnd w:id="0"/>
      <w:r w:rsidR="00892C98" w:rsidRPr="004661E6">
        <w:rPr>
          <w:szCs w:val="28"/>
        </w:rPr>
        <w:t>.</w:t>
      </w:r>
    </w:p>
    <w:p w:rsidR="00892C98" w:rsidRPr="00125EA5" w:rsidRDefault="00366BC6" w:rsidP="00366BC6">
      <w:pPr>
        <w:jc w:val="both"/>
        <w:rPr>
          <w:szCs w:val="28"/>
        </w:rPr>
      </w:pPr>
      <w:r>
        <w:rPr>
          <w:sz w:val="28"/>
          <w:szCs w:val="28"/>
          <w:lang w:val="en-US"/>
        </w:rPr>
        <w:t xml:space="preserve">Revenues of the state budget from the </w:t>
      </w:r>
      <w:r>
        <w:rPr>
          <w:b/>
          <w:i/>
          <w:sz w:val="28"/>
          <w:szCs w:val="28"/>
          <w:lang w:val="en-US"/>
        </w:rPr>
        <w:t xml:space="preserve">privatization of state property </w:t>
      </w:r>
      <w:r>
        <w:rPr>
          <w:sz w:val="28"/>
          <w:szCs w:val="28"/>
          <w:lang w:val="en-US"/>
        </w:rPr>
        <w:t xml:space="preserve">in Q1 of 2018 amounted UAH </w:t>
      </w:r>
      <w:r w:rsidR="00892C98" w:rsidRPr="004661E6">
        <w:rPr>
          <w:b/>
          <w:sz w:val="28"/>
          <w:szCs w:val="28"/>
          <w:lang w:val="ru-RU"/>
        </w:rPr>
        <w:t>34</w:t>
      </w:r>
      <w:r>
        <w:rPr>
          <w:b/>
          <w:sz w:val="28"/>
          <w:szCs w:val="28"/>
          <w:lang w:val="en-US"/>
        </w:rPr>
        <w:t>.</w:t>
      </w:r>
      <w:r w:rsidR="00892C98" w:rsidRPr="004661E6">
        <w:rPr>
          <w:b/>
          <w:sz w:val="28"/>
          <w:szCs w:val="28"/>
          <w:lang w:val="ru-RU"/>
        </w:rPr>
        <w:t>6</w:t>
      </w:r>
      <w:r w:rsidR="00892C98" w:rsidRPr="004661E6">
        <w:rPr>
          <w:b/>
          <w:sz w:val="28"/>
          <w:szCs w:val="28"/>
        </w:rPr>
        <w:t> </w:t>
      </w:r>
      <w:r>
        <w:rPr>
          <w:sz w:val="28"/>
          <w:szCs w:val="28"/>
          <w:lang w:val="en-US"/>
        </w:rPr>
        <w:t>bn</w:t>
      </w:r>
      <w:r w:rsidR="00892C98" w:rsidRPr="004661E6">
        <w:rPr>
          <w:sz w:val="28"/>
          <w:szCs w:val="28"/>
        </w:rPr>
        <w:t>.</w:t>
      </w:r>
    </w:p>
    <w:p w:rsidR="00484086" w:rsidRPr="00125EA5" w:rsidRDefault="00484086" w:rsidP="00892C98">
      <w:pPr>
        <w:pStyle w:val="2"/>
        <w:spacing w:after="60"/>
        <w:ind w:firstLine="720"/>
        <w:rPr>
          <w:szCs w:val="28"/>
        </w:rPr>
      </w:pPr>
    </w:p>
    <w:sectPr w:rsidR="00484086" w:rsidRPr="00125EA5" w:rsidSect="00C54247">
      <w:headerReference w:type="even" r:id="rId8"/>
      <w:headerReference w:type="default" r:id="rId9"/>
      <w:footerReference w:type="even" r:id="rId10"/>
      <w:footerReference w:type="default" r:id="rId11"/>
      <w:headerReference w:type="first" r:id="rId12"/>
      <w:footerReference w:type="first" r:id="rId13"/>
      <w:pgSz w:w="11906" w:h="16838" w:code="9"/>
      <w:pgMar w:top="719" w:right="851" w:bottom="993" w:left="1418" w:header="454"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8CA" w:rsidRDefault="001948CA">
      <w:r>
        <w:separator/>
      </w:r>
    </w:p>
  </w:endnote>
  <w:endnote w:type="continuationSeparator" w:id="0">
    <w:p w:rsidR="001948CA" w:rsidRDefault="0019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E8" w:rsidRDefault="007740E8" w:rsidP="009210E1">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740E8" w:rsidRDefault="007740E8" w:rsidP="009210E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444698705"/>
      <w:docPartObj>
        <w:docPartGallery w:val="Page Numbers (Bottom of Page)"/>
        <w:docPartUnique/>
      </w:docPartObj>
    </w:sdtPr>
    <w:sdtEndPr>
      <w:rPr>
        <w:noProof/>
      </w:rPr>
    </w:sdtEndPr>
    <w:sdtContent>
      <w:p w:rsidR="007740E8" w:rsidRPr="00C54247" w:rsidRDefault="007740E8">
        <w:pPr>
          <w:pStyle w:val="a7"/>
          <w:jc w:val="right"/>
          <w:rPr>
            <w:sz w:val="22"/>
          </w:rPr>
        </w:pPr>
        <w:r w:rsidRPr="00C54247">
          <w:rPr>
            <w:sz w:val="22"/>
          </w:rPr>
          <w:fldChar w:fldCharType="begin"/>
        </w:r>
        <w:r w:rsidRPr="00C54247">
          <w:rPr>
            <w:sz w:val="22"/>
          </w:rPr>
          <w:instrText xml:space="preserve"> PAGE   \* MERGEFORMAT </w:instrText>
        </w:r>
        <w:r w:rsidRPr="00C54247">
          <w:rPr>
            <w:sz w:val="22"/>
          </w:rPr>
          <w:fldChar w:fldCharType="separate"/>
        </w:r>
        <w:r>
          <w:rPr>
            <w:noProof/>
            <w:sz w:val="22"/>
          </w:rPr>
          <w:t>4</w:t>
        </w:r>
        <w:r w:rsidRPr="00C54247">
          <w:rPr>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E8" w:rsidRDefault="007740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8CA" w:rsidRDefault="001948CA">
      <w:r>
        <w:separator/>
      </w:r>
    </w:p>
  </w:footnote>
  <w:footnote w:type="continuationSeparator" w:id="0">
    <w:p w:rsidR="001948CA" w:rsidRDefault="0019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E8" w:rsidRDefault="007740E8" w:rsidP="00BD76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740E8" w:rsidRDefault="007740E8">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E8" w:rsidRDefault="007740E8" w:rsidP="00A579E4">
    <w:pPr>
      <w:pStyle w:val="a5"/>
      <w:framePr w:wrap="around" w:vAnchor="text" w:hAnchor="margin" w:xAlign="center" w:y="1"/>
      <w:rPr>
        <w:rStyle w:val="a6"/>
      </w:rPr>
    </w:pPr>
  </w:p>
  <w:p w:rsidR="007740E8" w:rsidRDefault="007740E8">
    <w:pPr>
      <w:pStyle w:val="a5"/>
      <w:ind w:right="360"/>
      <w:rPr>
        <w:lang w:val="ru-RU"/>
      </w:rPr>
    </w:pPr>
    <w:r>
      <w:rPr>
        <w:lang w:val="ru-R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0E8" w:rsidRDefault="007740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F00B9"/>
    <w:multiLevelType w:val="hybridMultilevel"/>
    <w:tmpl w:val="3EE2B6C6"/>
    <w:lvl w:ilvl="0" w:tplc="6B3EBB20">
      <w:start w:val="25"/>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C4319E8"/>
    <w:multiLevelType w:val="hybridMultilevel"/>
    <w:tmpl w:val="FC027E86"/>
    <w:lvl w:ilvl="0" w:tplc="757EF9E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C432237"/>
    <w:multiLevelType w:val="hybridMultilevel"/>
    <w:tmpl w:val="B156A2C2"/>
    <w:lvl w:ilvl="0" w:tplc="FFF85ACC">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 w15:restartNumberingAfterBreak="0">
    <w:nsid w:val="0F503338"/>
    <w:multiLevelType w:val="hybridMultilevel"/>
    <w:tmpl w:val="8F203A02"/>
    <w:lvl w:ilvl="0" w:tplc="757EF9EC">
      <w:numFmt w:val="bullet"/>
      <w:lvlText w:val="-"/>
      <w:lvlJc w:val="left"/>
      <w:pPr>
        <w:tabs>
          <w:tab w:val="num" w:pos="1304"/>
        </w:tabs>
        <w:ind w:left="1304" w:hanging="76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1AE53CC"/>
    <w:multiLevelType w:val="hybridMultilevel"/>
    <w:tmpl w:val="E2DA6624"/>
    <w:lvl w:ilvl="0" w:tplc="FFFFFFFF">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E761C15"/>
    <w:multiLevelType w:val="hybridMultilevel"/>
    <w:tmpl w:val="DF069F20"/>
    <w:lvl w:ilvl="0" w:tplc="7CAAE168">
      <w:numFmt w:val="bullet"/>
      <w:lvlText w:val="–"/>
      <w:lvlJc w:val="left"/>
      <w:pPr>
        <w:tabs>
          <w:tab w:val="num" w:pos="1005"/>
        </w:tabs>
        <w:ind w:left="1005" w:hanging="100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C716A4"/>
    <w:multiLevelType w:val="hybridMultilevel"/>
    <w:tmpl w:val="7CC8A964"/>
    <w:lvl w:ilvl="0" w:tplc="A7D879C4">
      <w:start w:val="1"/>
      <w:numFmt w:val="bullet"/>
      <w:lvlText w:val="‒"/>
      <w:lvlJc w:val="left"/>
      <w:pPr>
        <w:ind w:left="1287" w:hanging="360"/>
      </w:pPr>
      <w:rPr>
        <w:rFonts w:ascii="Calibri" w:hAnsi="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3FE15FD5"/>
    <w:multiLevelType w:val="hybridMultilevel"/>
    <w:tmpl w:val="34FC29F6"/>
    <w:lvl w:ilvl="0" w:tplc="D0D2C14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46C126B7"/>
    <w:multiLevelType w:val="hybridMultilevel"/>
    <w:tmpl w:val="D0447EFE"/>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48484326"/>
    <w:multiLevelType w:val="hybridMultilevel"/>
    <w:tmpl w:val="B0681AE2"/>
    <w:lvl w:ilvl="0" w:tplc="6B6ECE02">
      <w:start w:val="4"/>
      <w:numFmt w:val="bullet"/>
      <w:lvlText w:val="-"/>
      <w:lvlJc w:val="left"/>
      <w:pPr>
        <w:ind w:left="1074" w:hanging="360"/>
      </w:pPr>
      <w:rPr>
        <w:rFonts w:ascii="Times New Roman" w:eastAsia="Calibri" w:hAnsi="Times New Roman" w:cs="Times New Roman" w:hint="default"/>
      </w:rPr>
    </w:lvl>
    <w:lvl w:ilvl="1" w:tplc="04220003">
      <w:start w:val="1"/>
      <w:numFmt w:val="bullet"/>
      <w:lvlText w:val="o"/>
      <w:lvlJc w:val="left"/>
      <w:pPr>
        <w:ind w:left="1794" w:hanging="360"/>
      </w:pPr>
      <w:rPr>
        <w:rFonts w:ascii="Courier New" w:hAnsi="Courier New" w:cs="Courier New" w:hint="default"/>
      </w:rPr>
    </w:lvl>
    <w:lvl w:ilvl="2" w:tplc="04190005">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0" w15:restartNumberingAfterBreak="0">
    <w:nsid w:val="4B332D15"/>
    <w:multiLevelType w:val="hybridMultilevel"/>
    <w:tmpl w:val="7786B884"/>
    <w:lvl w:ilvl="0" w:tplc="6B6ECE02">
      <w:start w:val="4"/>
      <w:numFmt w:val="bullet"/>
      <w:lvlText w:val="-"/>
      <w:lvlJc w:val="left"/>
      <w:pPr>
        <w:ind w:left="1074" w:hanging="360"/>
      </w:pPr>
      <w:rPr>
        <w:rFonts w:ascii="Times New Roman" w:eastAsia="Calibri" w:hAnsi="Times New Roman" w:cs="Times New Roman" w:hint="default"/>
      </w:rPr>
    </w:lvl>
    <w:lvl w:ilvl="1" w:tplc="5D2617A0">
      <w:numFmt w:val="bullet"/>
      <w:lvlText w:val="-"/>
      <w:lvlJc w:val="left"/>
      <w:pPr>
        <w:ind w:left="1794" w:hanging="360"/>
      </w:pPr>
      <w:rPr>
        <w:rFonts w:ascii="Arial" w:eastAsia="Times New Roman" w:hAnsi="Arial" w:cs="Arial" w:hint="default"/>
      </w:rPr>
    </w:lvl>
    <w:lvl w:ilvl="2" w:tplc="04190005">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1" w15:restartNumberingAfterBreak="0">
    <w:nsid w:val="51DB7AC1"/>
    <w:multiLevelType w:val="hybridMultilevel"/>
    <w:tmpl w:val="40AC69E2"/>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6E1857B0"/>
    <w:multiLevelType w:val="hybridMultilevel"/>
    <w:tmpl w:val="118EDF3E"/>
    <w:lvl w:ilvl="0" w:tplc="0422000B">
      <w:start w:val="1"/>
      <w:numFmt w:val="bullet"/>
      <w:lvlText w:val=""/>
      <w:lvlJc w:val="left"/>
      <w:pPr>
        <w:ind w:left="1074" w:hanging="360"/>
      </w:pPr>
      <w:rPr>
        <w:rFonts w:ascii="Wingdings" w:hAnsi="Wingdings" w:hint="default"/>
      </w:rPr>
    </w:lvl>
    <w:lvl w:ilvl="1" w:tplc="04190003">
      <w:start w:val="1"/>
      <w:numFmt w:val="bullet"/>
      <w:lvlText w:val="o"/>
      <w:lvlJc w:val="left"/>
      <w:pPr>
        <w:ind w:left="1794" w:hanging="360"/>
      </w:pPr>
      <w:rPr>
        <w:rFonts w:ascii="Courier New" w:hAnsi="Courier New" w:cs="Courier New" w:hint="default"/>
      </w:rPr>
    </w:lvl>
    <w:lvl w:ilvl="2" w:tplc="04190005">
      <w:start w:val="1"/>
      <w:numFmt w:val="bullet"/>
      <w:lvlText w:val=""/>
      <w:lvlJc w:val="left"/>
      <w:pPr>
        <w:ind w:left="2514" w:hanging="360"/>
      </w:pPr>
      <w:rPr>
        <w:rFonts w:ascii="Wingdings" w:hAnsi="Wingdings" w:hint="default"/>
      </w:rPr>
    </w:lvl>
    <w:lvl w:ilvl="3" w:tplc="04190001">
      <w:start w:val="1"/>
      <w:numFmt w:val="bullet"/>
      <w:lvlText w:val=""/>
      <w:lvlJc w:val="left"/>
      <w:pPr>
        <w:ind w:left="3234" w:hanging="360"/>
      </w:pPr>
      <w:rPr>
        <w:rFonts w:ascii="Symbol" w:hAnsi="Symbol" w:hint="default"/>
      </w:rPr>
    </w:lvl>
    <w:lvl w:ilvl="4" w:tplc="04190003">
      <w:start w:val="1"/>
      <w:numFmt w:val="bullet"/>
      <w:lvlText w:val="o"/>
      <w:lvlJc w:val="left"/>
      <w:pPr>
        <w:ind w:left="3954" w:hanging="360"/>
      </w:pPr>
      <w:rPr>
        <w:rFonts w:ascii="Courier New" w:hAnsi="Courier New" w:cs="Courier New" w:hint="default"/>
      </w:rPr>
    </w:lvl>
    <w:lvl w:ilvl="5" w:tplc="04190005">
      <w:start w:val="1"/>
      <w:numFmt w:val="bullet"/>
      <w:lvlText w:val=""/>
      <w:lvlJc w:val="left"/>
      <w:pPr>
        <w:ind w:left="4674" w:hanging="360"/>
      </w:pPr>
      <w:rPr>
        <w:rFonts w:ascii="Wingdings" w:hAnsi="Wingdings" w:hint="default"/>
      </w:rPr>
    </w:lvl>
    <w:lvl w:ilvl="6" w:tplc="04190001">
      <w:start w:val="1"/>
      <w:numFmt w:val="bullet"/>
      <w:lvlText w:val=""/>
      <w:lvlJc w:val="left"/>
      <w:pPr>
        <w:ind w:left="5394" w:hanging="360"/>
      </w:pPr>
      <w:rPr>
        <w:rFonts w:ascii="Symbol" w:hAnsi="Symbol" w:hint="default"/>
      </w:rPr>
    </w:lvl>
    <w:lvl w:ilvl="7" w:tplc="04190003">
      <w:start w:val="1"/>
      <w:numFmt w:val="bullet"/>
      <w:lvlText w:val="o"/>
      <w:lvlJc w:val="left"/>
      <w:pPr>
        <w:ind w:left="6114" w:hanging="360"/>
      </w:pPr>
      <w:rPr>
        <w:rFonts w:ascii="Courier New" w:hAnsi="Courier New" w:cs="Courier New" w:hint="default"/>
      </w:rPr>
    </w:lvl>
    <w:lvl w:ilvl="8" w:tplc="04190005">
      <w:start w:val="1"/>
      <w:numFmt w:val="bullet"/>
      <w:lvlText w:val=""/>
      <w:lvlJc w:val="left"/>
      <w:pPr>
        <w:ind w:left="6834" w:hanging="360"/>
      </w:pPr>
      <w:rPr>
        <w:rFonts w:ascii="Wingdings" w:hAnsi="Wingdings" w:hint="default"/>
      </w:rPr>
    </w:lvl>
  </w:abstractNum>
  <w:abstractNum w:abstractNumId="13" w15:restartNumberingAfterBreak="0">
    <w:nsid w:val="7E7769FA"/>
    <w:multiLevelType w:val="hybridMultilevel"/>
    <w:tmpl w:val="F5A2EFC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2"/>
  </w:num>
  <w:num w:numId="8">
    <w:abstractNumId w:val="12"/>
  </w:num>
  <w:num w:numId="9">
    <w:abstractNumId w:val="11"/>
  </w:num>
  <w:num w:numId="10">
    <w:abstractNumId w:val="1"/>
  </w:num>
  <w:num w:numId="11">
    <w:abstractNumId w:val="6"/>
  </w:num>
  <w:num w:numId="12">
    <w:abstractNumId w:val="10"/>
  </w:num>
  <w:num w:numId="13">
    <w:abstractNumId w:val="9"/>
  </w:num>
  <w:num w:numId="14">
    <w:abstractNumId w:val="7"/>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E1"/>
    <w:rsid w:val="00000ECB"/>
    <w:rsid w:val="00002832"/>
    <w:rsid w:val="000031F3"/>
    <w:rsid w:val="00003BFE"/>
    <w:rsid w:val="0000538E"/>
    <w:rsid w:val="00005EBE"/>
    <w:rsid w:val="00006830"/>
    <w:rsid w:val="000102DD"/>
    <w:rsid w:val="00010EAC"/>
    <w:rsid w:val="000172C1"/>
    <w:rsid w:val="00021AEC"/>
    <w:rsid w:val="000229C6"/>
    <w:rsid w:val="00022AEA"/>
    <w:rsid w:val="0002363B"/>
    <w:rsid w:val="00025654"/>
    <w:rsid w:val="00026B43"/>
    <w:rsid w:val="000278D9"/>
    <w:rsid w:val="00032324"/>
    <w:rsid w:val="0003598B"/>
    <w:rsid w:val="000359B6"/>
    <w:rsid w:val="00035D7A"/>
    <w:rsid w:val="000371A4"/>
    <w:rsid w:val="00040E11"/>
    <w:rsid w:val="0004128A"/>
    <w:rsid w:val="0004204A"/>
    <w:rsid w:val="0004287E"/>
    <w:rsid w:val="000438C4"/>
    <w:rsid w:val="00047292"/>
    <w:rsid w:val="00047361"/>
    <w:rsid w:val="000473C1"/>
    <w:rsid w:val="00047DEA"/>
    <w:rsid w:val="000603D4"/>
    <w:rsid w:val="00062185"/>
    <w:rsid w:val="00063EB0"/>
    <w:rsid w:val="00064A7E"/>
    <w:rsid w:val="000661EF"/>
    <w:rsid w:val="00070BBF"/>
    <w:rsid w:val="00071BDC"/>
    <w:rsid w:val="0007255B"/>
    <w:rsid w:val="0007279E"/>
    <w:rsid w:val="000745F1"/>
    <w:rsid w:val="000748FD"/>
    <w:rsid w:val="00074D45"/>
    <w:rsid w:val="00075D1C"/>
    <w:rsid w:val="0007629D"/>
    <w:rsid w:val="00076945"/>
    <w:rsid w:val="00080292"/>
    <w:rsid w:val="000862AF"/>
    <w:rsid w:val="0009062D"/>
    <w:rsid w:val="00090717"/>
    <w:rsid w:val="00091C04"/>
    <w:rsid w:val="000923C7"/>
    <w:rsid w:val="00093540"/>
    <w:rsid w:val="0009727F"/>
    <w:rsid w:val="000A0321"/>
    <w:rsid w:val="000A3AD8"/>
    <w:rsid w:val="000A40BD"/>
    <w:rsid w:val="000A747F"/>
    <w:rsid w:val="000B1897"/>
    <w:rsid w:val="000B7DC0"/>
    <w:rsid w:val="000C2AA5"/>
    <w:rsid w:val="000C44AB"/>
    <w:rsid w:val="000C46DA"/>
    <w:rsid w:val="000C4C40"/>
    <w:rsid w:val="000C5918"/>
    <w:rsid w:val="000C5BB8"/>
    <w:rsid w:val="000C5CB0"/>
    <w:rsid w:val="000C612A"/>
    <w:rsid w:val="000C633C"/>
    <w:rsid w:val="000C6688"/>
    <w:rsid w:val="000D0648"/>
    <w:rsid w:val="000D0806"/>
    <w:rsid w:val="000D165C"/>
    <w:rsid w:val="000D2122"/>
    <w:rsid w:val="000D2CAF"/>
    <w:rsid w:val="000D41DE"/>
    <w:rsid w:val="000D718D"/>
    <w:rsid w:val="000D7612"/>
    <w:rsid w:val="000D7BD9"/>
    <w:rsid w:val="000E040F"/>
    <w:rsid w:val="000E3832"/>
    <w:rsid w:val="000E46B1"/>
    <w:rsid w:val="000E5371"/>
    <w:rsid w:val="000F1B96"/>
    <w:rsid w:val="000F1E74"/>
    <w:rsid w:val="000F229E"/>
    <w:rsid w:val="000F3A8B"/>
    <w:rsid w:val="000F42C2"/>
    <w:rsid w:val="000F460D"/>
    <w:rsid w:val="000F5FFC"/>
    <w:rsid w:val="000F65BD"/>
    <w:rsid w:val="000F6679"/>
    <w:rsid w:val="000F6DBB"/>
    <w:rsid w:val="000F78E0"/>
    <w:rsid w:val="00104C6F"/>
    <w:rsid w:val="00106872"/>
    <w:rsid w:val="00110818"/>
    <w:rsid w:val="00113EEA"/>
    <w:rsid w:val="00114690"/>
    <w:rsid w:val="00116AE6"/>
    <w:rsid w:val="0011738F"/>
    <w:rsid w:val="00117EE7"/>
    <w:rsid w:val="0012330F"/>
    <w:rsid w:val="001241E1"/>
    <w:rsid w:val="00125043"/>
    <w:rsid w:val="00125EA5"/>
    <w:rsid w:val="00132CF4"/>
    <w:rsid w:val="0013371B"/>
    <w:rsid w:val="00134A20"/>
    <w:rsid w:val="00134BB9"/>
    <w:rsid w:val="00137839"/>
    <w:rsid w:val="00137EA1"/>
    <w:rsid w:val="00141065"/>
    <w:rsid w:val="0014171A"/>
    <w:rsid w:val="00142A35"/>
    <w:rsid w:val="00143433"/>
    <w:rsid w:val="001449C6"/>
    <w:rsid w:val="001453A0"/>
    <w:rsid w:val="00145C08"/>
    <w:rsid w:val="00146B18"/>
    <w:rsid w:val="0014787E"/>
    <w:rsid w:val="001522EA"/>
    <w:rsid w:val="0015347C"/>
    <w:rsid w:val="0015537B"/>
    <w:rsid w:val="00160F21"/>
    <w:rsid w:val="0016491F"/>
    <w:rsid w:val="00166AA0"/>
    <w:rsid w:val="001728ED"/>
    <w:rsid w:val="00172D8F"/>
    <w:rsid w:val="00180B1C"/>
    <w:rsid w:val="00182FCE"/>
    <w:rsid w:val="0018310F"/>
    <w:rsid w:val="00183A1B"/>
    <w:rsid w:val="00185EF2"/>
    <w:rsid w:val="00186A64"/>
    <w:rsid w:val="001871B5"/>
    <w:rsid w:val="00190424"/>
    <w:rsid w:val="001916A5"/>
    <w:rsid w:val="00191FCA"/>
    <w:rsid w:val="0019451E"/>
    <w:rsid w:val="001948CA"/>
    <w:rsid w:val="001A0E0F"/>
    <w:rsid w:val="001A42DD"/>
    <w:rsid w:val="001A474C"/>
    <w:rsid w:val="001A5A08"/>
    <w:rsid w:val="001A6599"/>
    <w:rsid w:val="001B00E2"/>
    <w:rsid w:val="001B0A20"/>
    <w:rsid w:val="001B23E1"/>
    <w:rsid w:val="001B2483"/>
    <w:rsid w:val="001B53D4"/>
    <w:rsid w:val="001B569E"/>
    <w:rsid w:val="001B6CEC"/>
    <w:rsid w:val="001B7E1B"/>
    <w:rsid w:val="001C1399"/>
    <w:rsid w:val="001C1600"/>
    <w:rsid w:val="001C338F"/>
    <w:rsid w:val="001C34B0"/>
    <w:rsid w:val="001C54B2"/>
    <w:rsid w:val="001C6415"/>
    <w:rsid w:val="001C642D"/>
    <w:rsid w:val="001C6A52"/>
    <w:rsid w:val="001D1217"/>
    <w:rsid w:val="001D185A"/>
    <w:rsid w:val="001D1974"/>
    <w:rsid w:val="001D1975"/>
    <w:rsid w:val="001D21E3"/>
    <w:rsid w:val="001D3881"/>
    <w:rsid w:val="001D4B29"/>
    <w:rsid w:val="001D541A"/>
    <w:rsid w:val="001D5AF0"/>
    <w:rsid w:val="001D5CCE"/>
    <w:rsid w:val="001D6DC8"/>
    <w:rsid w:val="001E0CEC"/>
    <w:rsid w:val="001E2EC8"/>
    <w:rsid w:val="001E4908"/>
    <w:rsid w:val="001E5801"/>
    <w:rsid w:val="001E5FAF"/>
    <w:rsid w:val="001E6FD0"/>
    <w:rsid w:val="001F01D2"/>
    <w:rsid w:val="001F0316"/>
    <w:rsid w:val="001F0F5D"/>
    <w:rsid w:val="001F1672"/>
    <w:rsid w:val="001F19F5"/>
    <w:rsid w:val="001F2079"/>
    <w:rsid w:val="001F4067"/>
    <w:rsid w:val="001F42FD"/>
    <w:rsid w:val="001F46B3"/>
    <w:rsid w:val="001F4B6B"/>
    <w:rsid w:val="001F5DC9"/>
    <w:rsid w:val="001F7B22"/>
    <w:rsid w:val="002010B6"/>
    <w:rsid w:val="00201664"/>
    <w:rsid w:val="002034B4"/>
    <w:rsid w:val="0020396B"/>
    <w:rsid w:val="00204289"/>
    <w:rsid w:val="00204644"/>
    <w:rsid w:val="00205E9C"/>
    <w:rsid w:val="00206200"/>
    <w:rsid w:val="00206A79"/>
    <w:rsid w:val="002132B0"/>
    <w:rsid w:val="00213C9F"/>
    <w:rsid w:val="00214D5A"/>
    <w:rsid w:val="0022042B"/>
    <w:rsid w:val="00220E7C"/>
    <w:rsid w:val="0022163F"/>
    <w:rsid w:val="00224241"/>
    <w:rsid w:val="00226012"/>
    <w:rsid w:val="0022674E"/>
    <w:rsid w:val="00227579"/>
    <w:rsid w:val="00227A5D"/>
    <w:rsid w:val="002325AC"/>
    <w:rsid w:val="00233686"/>
    <w:rsid w:val="0023392F"/>
    <w:rsid w:val="002353FB"/>
    <w:rsid w:val="002364EE"/>
    <w:rsid w:val="00237711"/>
    <w:rsid w:val="002420E9"/>
    <w:rsid w:val="00242AD0"/>
    <w:rsid w:val="00242D61"/>
    <w:rsid w:val="002433CE"/>
    <w:rsid w:val="00246189"/>
    <w:rsid w:val="00250594"/>
    <w:rsid w:val="00251A2E"/>
    <w:rsid w:val="00253C70"/>
    <w:rsid w:val="00254C77"/>
    <w:rsid w:val="0025603C"/>
    <w:rsid w:val="00256880"/>
    <w:rsid w:val="00257D2D"/>
    <w:rsid w:val="00260845"/>
    <w:rsid w:val="002644B7"/>
    <w:rsid w:val="00271CB1"/>
    <w:rsid w:val="00274CF6"/>
    <w:rsid w:val="00277A1F"/>
    <w:rsid w:val="0028134C"/>
    <w:rsid w:val="00282A84"/>
    <w:rsid w:val="002834AF"/>
    <w:rsid w:val="00284B10"/>
    <w:rsid w:val="00290D4F"/>
    <w:rsid w:val="0029226E"/>
    <w:rsid w:val="00292ABA"/>
    <w:rsid w:val="0029595A"/>
    <w:rsid w:val="0029718F"/>
    <w:rsid w:val="002A0313"/>
    <w:rsid w:val="002A28F9"/>
    <w:rsid w:val="002A3E75"/>
    <w:rsid w:val="002A42C7"/>
    <w:rsid w:val="002A783E"/>
    <w:rsid w:val="002B184F"/>
    <w:rsid w:val="002B2264"/>
    <w:rsid w:val="002B27BA"/>
    <w:rsid w:val="002B2876"/>
    <w:rsid w:val="002B30B4"/>
    <w:rsid w:val="002B3EC2"/>
    <w:rsid w:val="002B53C8"/>
    <w:rsid w:val="002B5B23"/>
    <w:rsid w:val="002C1E76"/>
    <w:rsid w:val="002C3280"/>
    <w:rsid w:val="002C4177"/>
    <w:rsid w:val="002C4E0A"/>
    <w:rsid w:val="002D028A"/>
    <w:rsid w:val="002D1861"/>
    <w:rsid w:val="002D4134"/>
    <w:rsid w:val="002D7A2A"/>
    <w:rsid w:val="002E245F"/>
    <w:rsid w:val="002E46FE"/>
    <w:rsid w:val="002E4AA7"/>
    <w:rsid w:val="002E7997"/>
    <w:rsid w:val="002E7A5B"/>
    <w:rsid w:val="002E7DAE"/>
    <w:rsid w:val="002F0628"/>
    <w:rsid w:val="002F1972"/>
    <w:rsid w:val="002F2F19"/>
    <w:rsid w:val="002F517F"/>
    <w:rsid w:val="002F62DC"/>
    <w:rsid w:val="002F7D89"/>
    <w:rsid w:val="00302000"/>
    <w:rsid w:val="00303850"/>
    <w:rsid w:val="00304469"/>
    <w:rsid w:val="00304F14"/>
    <w:rsid w:val="00311470"/>
    <w:rsid w:val="00311CEE"/>
    <w:rsid w:val="0031577C"/>
    <w:rsid w:val="003160B5"/>
    <w:rsid w:val="003227B4"/>
    <w:rsid w:val="00324DE4"/>
    <w:rsid w:val="0033039D"/>
    <w:rsid w:val="00330CBF"/>
    <w:rsid w:val="00331DCE"/>
    <w:rsid w:val="00333D77"/>
    <w:rsid w:val="00334188"/>
    <w:rsid w:val="00336A63"/>
    <w:rsid w:val="00336ED2"/>
    <w:rsid w:val="0033797C"/>
    <w:rsid w:val="003407D6"/>
    <w:rsid w:val="003422D9"/>
    <w:rsid w:val="003443DB"/>
    <w:rsid w:val="00344508"/>
    <w:rsid w:val="00345327"/>
    <w:rsid w:val="00347144"/>
    <w:rsid w:val="00347763"/>
    <w:rsid w:val="00350F40"/>
    <w:rsid w:val="0035144E"/>
    <w:rsid w:val="003517D4"/>
    <w:rsid w:val="00354D87"/>
    <w:rsid w:val="00356280"/>
    <w:rsid w:val="00356C48"/>
    <w:rsid w:val="003570D4"/>
    <w:rsid w:val="003606B3"/>
    <w:rsid w:val="00361C50"/>
    <w:rsid w:val="00361F4D"/>
    <w:rsid w:val="0036386C"/>
    <w:rsid w:val="00364132"/>
    <w:rsid w:val="00364BA8"/>
    <w:rsid w:val="0036591B"/>
    <w:rsid w:val="00366A6F"/>
    <w:rsid w:val="00366BC6"/>
    <w:rsid w:val="00367058"/>
    <w:rsid w:val="00367AA6"/>
    <w:rsid w:val="00371183"/>
    <w:rsid w:val="00373EAB"/>
    <w:rsid w:val="00374AA9"/>
    <w:rsid w:val="00374CCD"/>
    <w:rsid w:val="00374F5B"/>
    <w:rsid w:val="00375234"/>
    <w:rsid w:val="00375CCD"/>
    <w:rsid w:val="00377730"/>
    <w:rsid w:val="003817C6"/>
    <w:rsid w:val="00381C5C"/>
    <w:rsid w:val="00383535"/>
    <w:rsid w:val="00385BD8"/>
    <w:rsid w:val="0038628F"/>
    <w:rsid w:val="003873A1"/>
    <w:rsid w:val="0039055B"/>
    <w:rsid w:val="00390642"/>
    <w:rsid w:val="00392345"/>
    <w:rsid w:val="00392CDD"/>
    <w:rsid w:val="003937B9"/>
    <w:rsid w:val="00393830"/>
    <w:rsid w:val="00394D92"/>
    <w:rsid w:val="00394DEE"/>
    <w:rsid w:val="0039500E"/>
    <w:rsid w:val="00395327"/>
    <w:rsid w:val="00395478"/>
    <w:rsid w:val="00397685"/>
    <w:rsid w:val="003A2363"/>
    <w:rsid w:val="003A3171"/>
    <w:rsid w:val="003A45E9"/>
    <w:rsid w:val="003B0498"/>
    <w:rsid w:val="003B61FC"/>
    <w:rsid w:val="003B7348"/>
    <w:rsid w:val="003C0340"/>
    <w:rsid w:val="003C1DE2"/>
    <w:rsid w:val="003C28F8"/>
    <w:rsid w:val="003C378B"/>
    <w:rsid w:val="003C4047"/>
    <w:rsid w:val="003C4DF9"/>
    <w:rsid w:val="003C585B"/>
    <w:rsid w:val="003C5C03"/>
    <w:rsid w:val="003C6886"/>
    <w:rsid w:val="003C7496"/>
    <w:rsid w:val="003C752B"/>
    <w:rsid w:val="003D01B6"/>
    <w:rsid w:val="003D05F1"/>
    <w:rsid w:val="003D29B8"/>
    <w:rsid w:val="003D45EB"/>
    <w:rsid w:val="003D64CE"/>
    <w:rsid w:val="003D6FD6"/>
    <w:rsid w:val="003E14E3"/>
    <w:rsid w:val="003E19D7"/>
    <w:rsid w:val="003E2000"/>
    <w:rsid w:val="003E274A"/>
    <w:rsid w:val="003E2819"/>
    <w:rsid w:val="003E4099"/>
    <w:rsid w:val="003E4770"/>
    <w:rsid w:val="003E6C3F"/>
    <w:rsid w:val="003F1A2C"/>
    <w:rsid w:val="003F488A"/>
    <w:rsid w:val="003F57F0"/>
    <w:rsid w:val="003F6C80"/>
    <w:rsid w:val="00403B2E"/>
    <w:rsid w:val="00403EC3"/>
    <w:rsid w:val="00404BA6"/>
    <w:rsid w:val="00404C1B"/>
    <w:rsid w:val="00405CDB"/>
    <w:rsid w:val="004069F3"/>
    <w:rsid w:val="004077E4"/>
    <w:rsid w:val="00407FAA"/>
    <w:rsid w:val="00411F3A"/>
    <w:rsid w:val="004133D4"/>
    <w:rsid w:val="00413858"/>
    <w:rsid w:val="00415A2A"/>
    <w:rsid w:val="004173C7"/>
    <w:rsid w:val="00417BD6"/>
    <w:rsid w:val="00421DA1"/>
    <w:rsid w:val="00426EEA"/>
    <w:rsid w:val="0042776A"/>
    <w:rsid w:val="004306E3"/>
    <w:rsid w:val="00431270"/>
    <w:rsid w:val="00432CC0"/>
    <w:rsid w:val="00434049"/>
    <w:rsid w:val="0043600B"/>
    <w:rsid w:val="00446AED"/>
    <w:rsid w:val="0045065D"/>
    <w:rsid w:val="0045083B"/>
    <w:rsid w:val="00453AB0"/>
    <w:rsid w:val="0045476E"/>
    <w:rsid w:val="0045555D"/>
    <w:rsid w:val="00455942"/>
    <w:rsid w:val="00455C13"/>
    <w:rsid w:val="00456040"/>
    <w:rsid w:val="004562F1"/>
    <w:rsid w:val="00456A2F"/>
    <w:rsid w:val="00457A56"/>
    <w:rsid w:val="00462125"/>
    <w:rsid w:val="00462830"/>
    <w:rsid w:val="00462FF9"/>
    <w:rsid w:val="004634BD"/>
    <w:rsid w:val="004651A4"/>
    <w:rsid w:val="004661E6"/>
    <w:rsid w:val="00466EEC"/>
    <w:rsid w:val="004671EB"/>
    <w:rsid w:val="00470D11"/>
    <w:rsid w:val="00470F0A"/>
    <w:rsid w:val="0047339A"/>
    <w:rsid w:val="00473B2B"/>
    <w:rsid w:val="00474EB3"/>
    <w:rsid w:val="00475B02"/>
    <w:rsid w:val="00480A2B"/>
    <w:rsid w:val="00481D0B"/>
    <w:rsid w:val="00481F20"/>
    <w:rsid w:val="00483B8B"/>
    <w:rsid w:val="00484086"/>
    <w:rsid w:val="00485E7D"/>
    <w:rsid w:val="00490A60"/>
    <w:rsid w:val="0049194A"/>
    <w:rsid w:val="004927A3"/>
    <w:rsid w:val="00494FB5"/>
    <w:rsid w:val="00495B12"/>
    <w:rsid w:val="00496CCB"/>
    <w:rsid w:val="004A0EF1"/>
    <w:rsid w:val="004A3F06"/>
    <w:rsid w:val="004A445E"/>
    <w:rsid w:val="004A4972"/>
    <w:rsid w:val="004A7E5C"/>
    <w:rsid w:val="004B0075"/>
    <w:rsid w:val="004B1482"/>
    <w:rsid w:val="004B1DD0"/>
    <w:rsid w:val="004B2B09"/>
    <w:rsid w:val="004B358A"/>
    <w:rsid w:val="004B45CF"/>
    <w:rsid w:val="004B6607"/>
    <w:rsid w:val="004C096C"/>
    <w:rsid w:val="004C4746"/>
    <w:rsid w:val="004C6025"/>
    <w:rsid w:val="004D3915"/>
    <w:rsid w:val="004D44F4"/>
    <w:rsid w:val="004E1D0C"/>
    <w:rsid w:val="004E3BA4"/>
    <w:rsid w:val="004E540F"/>
    <w:rsid w:val="004E5A4C"/>
    <w:rsid w:val="004E5C12"/>
    <w:rsid w:val="004F0BB5"/>
    <w:rsid w:val="004F1B42"/>
    <w:rsid w:val="004F6FC0"/>
    <w:rsid w:val="004F7221"/>
    <w:rsid w:val="004F78BC"/>
    <w:rsid w:val="005021DC"/>
    <w:rsid w:val="005049D8"/>
    <w:rsid w:val="00505CC4"/>
    <w:rsid w:val="00505D87"/>
    <w:rsid w:val="005061B2"/>
    <w:rsid w:val="00511097"/>
    <w:rsid w:val="00511B61"/>
    <w:rsid w:val="0051294C"/>
    <w:rsid w:val="00512CA2"/>
    <w:rsid w:val="0051328B"/>
    <w:rsid w:val="00514557"/>
    <w:rsid w:val="00516912"/>
    <w:rsid w:val="00517EA1"/>
    <w:rsid w:val="005217D8"/>
    <w:rsid w:val="0052309C"/>
    <w:rsid w:val="005234C9"/>
    <w:rsid w:val="005239FD"/>
    <w:rsid w:val="005253A5"/>
    <w:rsid w:val="00530FA6"/>
    <w:rsid w:val="0053165B"/>
    <w:rsid w:val="00535C0D"/>
    <w:rsid w:val="00536E4A"/>
    <w:rsid w:val="0054186E"/>
    <w:rsid w:val="00541BDD"/>
    <w:rsid w:val="00542F16"/>
    <w:rsid w:val="00544334"/>
    <w:rsid w:val="00544835"/>
    <w:rsid w:val="00544AC9"/>
    <w:rsid w:val="00546894"/>
    <w:rsid w:val="005477CF"/>
    <w:rsid w:val="00547EE4"/>
    <w:rsid w:val="00551052"/>
    <w:rsid w:val="00553FF6"/>
    <w:rsid w:val="005542A7"/>
    <w:rsid w:val="00554E61"/>
    <w:rsid w:val="00555983"/>
    <w:rsid w:val="00560EB7"/>
    <w:rsid w:val="005643DC"/>
    <w:rsid w:val="00565759"/>
    <w:rsid w:val="00566152"/>
    <w:rsid w:val="005666E4"/>
    <w:rsid w:val="005709BB"/>
    <w:rsid w:val="005726F3"/>
    <w:rsid w:val="005745E7"/>
    <w:rsid w:val="005755C0"/>
    <w:rsid w:val="005774B3"/>
    <w:rsid w:val="00577CF1"/>
    <w:rsid w:val="00577D30"/>
    <w:rsid w:val="005803D8"/>
    <w:rsid w:val="00584514"/>
    <w:rsid w:val="00584F69"/>
    <w:rsid w:val="005852CF"/>
    <w:rsid w:val="00585A0C"/>
    <w:rsid w:val="00585CDB"/>
    <w:rsid w:val="00586105"/>
    <w:rsid w:val="00587390"/>
    <w:rsid w:val="0059074F"/>
    <w:rsid w:val="00590B82"/>
    <w:rsid w:val="00591491"/>
    <w:rsid w:val="00593C40"/>
    <w:rsid w:val="0059419E"/>
    <w:rsid w:val="00594336"/>
    <w:rsid w:val="005971D9"/>
    <w:rsid w:val="005A0B8E"/>
    <w:rsid w:val="005A2272"/>
    <w:rsid w:val="005A2CF9"/>
    <w:rsid w:val="005A4606"/>
    <w:rsid w:val="005A6AFE"/>
    <w:rsid w:val="005A6CAC"/>
    <w:rsid w:val="005A7111"/>
    <w:rsid w:val="005B0282"/>
    <w:rsid w:val="005B46A2"/>
    <w:rsid w:val="005B660E"/>
    <w:rsid w:val="005B70AC"/>
    <w:rsid w:val="005B798E"/>
    <w:rsid w:val="005C0FC3"/>
    <w:rsid w:val="005C1818"/>
    <w:rsid w:val="005C1C6D"/>
    <w:rsid w:val="005C248D"/>
    <w:rsid w:val="005C24C1"/>
    <w:rsid w:val="005C288E"/>
    <w:rsid w:val="005C2A1F"/>
    <w:rsid w:val="005C3F6E"/>
    <w:rsid w:val="005C51E8"/>
    <w:rsid w:val="005C63B1"/>
    <w:rsid w:val="005C6BE2"/>
    <w:rsid w:val="005D3661"/>
    <w:rsid w:val="005D675A"/>
    <w:rsid w:val="005D755B"/>
    <w:rsid w:val="005E1DC1"/>
    <w:rsid w:val="005E1F08"/>
    <w:rsid w:val="005E632B"/>
    <w:rsid w:val="005E65D9"/>
    <w:rsid w:val="005E6EB2"/>
    <w:rsid w:val="005F1351"/>
    <w:rsid w:val="005F3399"/>
    <w:rsid w:val="005F693C"/>
    <w:rsid w:val="00600684"/>
    <w:rsid w:val="00600BF0"/>
    <w:rsid w:val="0060254F"/>
    <w:rsid w:val="00602A70"/>
    <w:rsid w:val="0060754E"/>
    <w:rsid w:val="00607E6B"/>
    <w:rsid w:val="00612B8D"/>
    <w:rsid w:val="00613854"/>
    <w:rsid w:val="006155F7"/>
    <w:rsid w:val="00615655"/>
    <w:rsid w:val="00621A26"/>
    <w:rsid w:val="00622026"/>
    <w:rsid w:val="00625FA1"/>
    <w:rsid w:val="006276F7"/>
    <w:rsid w:val="00627E32"/>
    <w:rsid w:val="006327AF"/>
    <w:rsid w:val="006335AA"/>
    <w:rsid w:val="00635358"/>
    <w:rsid w:val="00635684"/>
    <w:rsid w:val="006401F4"/>
    <w:rsid w:val="00640AB4"/>
    <w:rsid w:val="00643448"/>
    <w:rsid w:val="00643F71"/>
    <w:rsid w:val="00645454"/>
    <w:rsid w:val="00645808"/>
    <w:rsid w:val="00656E8F"/>
    <w:rsid w:val="00657265"/>
    <w:rsid w:val="00661398"/>
    <w:rsid w:val="00662CAC"/>
    <w:rsid w:val="00665BCD"/>
    <w:rsid w:val="00666E5B"/>
    <w:rsid w:val="00673353"/>
    <w:rsid w:val="006756EE"/>
    <w:rsid w:val="00675715"/>
    <w:rsid w:val="00675E8C"/>
    <w:rsid w:val="00675FD1"/>
    <w:rsid w:val="00680560"/>
    <w:rsid w:val="006839D3"/>
    <w:rsid w:val="00684C8A"/>
    <w:rsid w:val="00684E37"/>
    <w:rsid w:val="00686868"/>
    <w:rsid w:val="006869E5"/>
    <w:rsid w:val="006904CA"/>
    <w:rsid w:val="00691534"/>
    <w:rsid w:val="00691B75"/>
    <w:rsid w:val="0069250E"/>
    <w:rsid w:val="006926D8"/>
    <w:rsid w:val="00692A41"/>
    <w:rsid w:val="006956F8"/>
    <w:rsid w:val="006958BD"/>
    <w:rsid w:val="00697546"/>
    <w:rsid w:val="00697D03"/>
    <w:rsid w:val="00697ED9"/>
    <w:rsid w:val="006A005F"/>
    <w:rsid w:val="006A0F1D"/>
    <w:rsid w:val="006A3837"/>
    <w:rsid w:val="006A4562"/>
    <w:rsid w:val="006A4688"/>
    <w:rsid w:val="006B1421"/>
    <w:rsid w:val="006B3560"/>
    <w:rsid w:val="006B35D4"/>
    <w:rsid w:val="006B45FE"/>
    <w:rsid w:val="006B4934"/>
    <w:rsid w:val="006B5716"/>
    <w:rsid w:val="006B67E2"/>
    <w:rsid w:val="006B78EF"/>
    <w:rsid w:val="006B7F06"/>
    <w:rsid w:val="006C0049"/>
    <w:rsid w:val="006C2D69"/>
    <w:rsid w:val="006C50DA"/>
    <w:rsid w:val="006C51C6"/>
    <w:rsid w:val="006C7B45"/>
    <w:rsid w:val="006C7B4B"/>
    <w:rsid w:val="006D0E1F"/>
    <w:rsid w:val="006D24B0"/>
    <w:rsid w:val="006D3B68"/>
    <w:rsid w:val="006D585B"/>
    <w:rsid w:val="006E0400"/>
    <w:rsid w:val="006E2A5D"/>
    <w:rsid w:val="006E2AFE"/>
    <w:rsid w:val="006E3545"/>
    <w:rsid w:val="006E53FB"/>
    <w:rsid w:val="006E5BAB"/>
    <w:rsid w:val="006E695E"/>
    <w:rsid w:val="006F14EC"/>
    <w:rsid w:val="006F2010"/>
    <w:rsid w:val="006F217D"/>
    <w:rsid w:val="006F3DF3"/>
    <w:rsid w:val="006F3FEB"/>
    <w:rsid w:val="006F4D98"/>
    <w:rsid w:val="006F532E"/>
    <w:rsid w:val="00700CCF"/>
    <w:rsid w:val="0070334F"/>
    <w:rsid w:val="0070338A"/>
    <w:rsid w:val="007126AE"/>
    <w:rsid w:val="007126F4"/>
    <w:rsid w:val="007150C5"/>
    <w:rsid w:val="0071659F"/>
    <w:rsid w:val="00716FBC"/>
    <w:rsid w:val="0072168A"/>
    <w:rsid w:val="00721FE6"/>
    <w:rsid w:val="00723513"/>
    <w:rsid w:val="0072560E"/>
    <w:rsid w:val="00726028"/>
    <w:rsid w:val="00727597"/>
    <w:rsid w:val="00727B7B"/>
    <w:rsid w:val="00727CCA"/>
    <w:rsid w:val="007302FB"/>
    <w:rsid w:val="00730C1E"/>
    <w:rsid w:val="007311B6"/>
    <w:rsid w:val="0073127C"/>
    <w:rsid w:val="00733DBA"/>
    <w:rsid w:val="007372FB"/>
    <w:rsid w:val="00743CA6"/>
    <w:rsid w:val="007440F4"/>
    <w:rsid w:val="00745B6D"/>
    <w:rsid w:val="00750396"/>
    <w:rsid w:val="00750BFF"/>
    <w:rsid w:val="00750CC5"/>
    <w:rsid w:val="00752C79"/>
    <w:rsid w:val="00755AF6"/>
    <w:rsid w:val="00756314"/>
    <w:rsid w:val="00757CB0"/>
    <w:rsid w:val="007613F7"/>
    <w:rsid w:val="00761455"/>
    <w:rsid w:val="00762F49"/>
    <w:rsid w:val="00763048"/>
    <w:rsid w:val="007631C0"/>
    <w:rsid w:val="007638A8"/>
    <w:rsid w:val="007654DD"/>
    <w:rsid w:val="007656EC"/>
    <w:rsid w:val="007679E0"/>
    <w:rsid w:val="00771FD9"/>
    <w:rsid w:val="00773247"/>
    <w:rsid w:val="007740E8"/>
    <w:rsid w:val="007750F3"/>
    <w:rsid w:val="0078038F"/>
    <w:rsid w:val="00780DAB"/>
    <w:rsid w:val="0078167F"/>
    <w:rsid w:val="00781715"/>
    <w:rsid w:val="00783A33"/>
    <w:rsid w:val="00785A35"/>
    <w:rsid w:val="00785AEA"/>
    <w:rsid w:val="00787787"/>
    <w:rsid w:val="00792200"/>
    <w:rsid w:val="00794D0C"/>
    <w:rsid w:val="007A17B2"/>
    <w:rsid w:val="007A18A1"/>
    <w:rsid w:val="007A32BB"/>
    <w:rsid w:val="007A37E3"/>
    <w:rsid w:val="007A5A05"/>
    <w:rsid w:val="007A65B4"/>
    <w:rsid w:val="007A7175"/>
    <w:rsid w:val="007A78F1"/>
    <w:rsid w:val="007B1F74"/>
    <w:rsid w:val="007B2281"/>
    <w:rsid w:val="007B5C8F"/>
    <w:rsid w:val="007B77F1"/>
    <w:rsid w:val="007C11CF"/>
    <w:rsid w:val="007C3E60"/>
    <w:rsid w:val="007C59CA"/>
    <w:rsid w:val="007C6525"/>
    <w:rsid w:val="007C78F6"/>
    <w:rsid w:val="007D03D6"/>
    <w:rsid w:val="007D11BE"/>
    <w:rsid w:val="007D19D4"/>
    <w:rsid w:val="007D395B"/>
    <w:rsid w:val="007D5A9D"/>
    <w:rsid w:val="007D6D05"/>
    <w:rsid w:val="007E1273"/>
    <w:rsid w:val="007E63C8"/>
    <w:rsid w:val="007F035A"/>
    <w:rsid w:val="007F03CA"/>
    <w:rsid w:val="007F0E21"/>
    <w:rsid w:val="007F103A"/>
    <w:rsid w:val="007F22A8"/>
    <w:rsid w:val="007F36DB"/>
    <w:rsid w:val="007F4B96"/>
    <w:rsid w:val="007F5146"/>
    <w:rsid w:val="007F66BF"/>
    <w:rsid w:val="0080303E"/>
    <w:rsid w:val="00803BE2"/>
    <w:rsid w:val="00804F23"/>
    <w:rsid w:val="00805158"/>
    <w:rsid w:val="00805ABD"/>
    <w:rsid w:val="008071FB"/>
    <w:rsid w:val="00810394"/>
    <w:rsid w:val="00813B66"/>
    <w:rsid w:val="00814AC6"/>
    <w:rsid w:val="00814CCC"/>
    <w:rsid w:val="00815DC1"/>
    <w:rsid w:val="00816C45"/>
    <w:rsid w:val="00820872"/>
    <w:rsid w:val="008225BC"/>
    <w:rsid w:val="008244A4"/>
    <w:rsid w:val="008318CD"/>
    <w:rsid w:val="00831CF9"/>
    <w:rsid w:val="00832AA2"/>
    <w:rsid w:val="0083391E"/>
    <w:rsid w:val="00833C49"/>
    <w:rsid w:val="0083454C"/>
    <w:rsid w:val="008346AE"/>
    <w:rsid w:val="008370F8"/>
    <w:rsid w:val="008378E7"/>
    <w:rsid w:val="008448DC"/>
    <w:rsid w:val="008452F9"/>
    <w:rsid w:val="00845BF3"/>
    <w:rsid w:val="00845D5F"/>
    <w:rsid w:val="00850322"/>
    <w:rsid w:val="00852280"/>
    <w:rsid w:val="0085303E"/>
    <w:rsid w:val="00854530"/>
    <w:rsid w:val="00854AC0"/>
    <w:rsid w:val="0085634C"/>
    <w:rsid w:val="008568B9"/>
    <w:rsid w:val="00857C78"/>
    <w:rsid w:val="00860D7E"/>
    <w:rsid w:val="00862E38"/>
    <w:rsid w:val="008630B9"/>
    <w:rsid w:val="008658AA"/>
    <w:rsid w:val="00866AC3"/>
    <w:rsid w:val="00866E0F"/>
    <w:rsid w:val="00867221"/>
    <w:rsid w:val="008675B5"/>
    <w:rsid w:val="00871B79"/>
    <w:rsid w:val="00873872"/>
    <w:rsid w:val="00874F3C"/>
    <w:rsid w:val="00877A4B"/>
    <w:rsid w:val="00877C65"/>
    <w:rsid w:val="00877F2A"/>
    <w:rsid w:val="00881F10"/>
    <w:rsid w:val="00882FD0"/>
    <w:rsid w:val="00883795"/>
    <w:rsid w:val="008909D1"/>
    <w:rsid w:val="00891E5A"/>
    <w:rsid w:val="00892C98"/>
    <w:rsid w:val="008933BB"/>
    <w:rsid w:val="0089424E"/>
    <w:rsid w:val="008963A6"/>
    <w:rsid w:val="0089648E"/>
    <w:rsid w:val="00896725"/>
    <w:rsid w:val="00896B03"/>
    <w:rsid w:val="008A2178"/>
    <w:rsid w:val="008A27EA"/>
    <w:rsid w:val="008A2C2B"/>
    <w:rsid w:val="008A31E5"/>
    <w:rsid w:val="008A3273"/>
    <w:rsid w:val="008A3750"/>
    <w:rsid w:val="008A3932"/>
    <w:rsid w:val="008A5AE0"/>
    <w:rsid w:val="008A6301"/>
    <w:rsid w:val="008A6421"/>
    <w:rsid w:val="008A692F"/>
    <w:rsid w:val="008B028A"/>
    <w:rsid w:val="008B0BB7"/>
    <w:rsid w:val="008B1431"/>
    <w:rsid w:val="008B1E47"/>
    <w:rsid w:val="008B2E3F"/>
    <w:rsid w:val="008B4962"/>
    <w:rsid w:val="008B5F7F"/>
    <w:rsid w:val="008B6E42"/>
    <w:rsid w:val="008C0043"/>
    <w:rsid w:val="008C143E"/>
    <w:rsid w:val="008C19B0"/>
    <w:rsid w:val="008C2FC4"/>
    <w:rsid w:val="008C3654"/>
    <w:rsid w:val="008C61DE"/>
    <w:rsid w:val="008C6F70"/>
    <w:rsid w:val="008D06A2"/>
    <w:rsid w:val="008D1D2E"/>
    <w:rsid w:val="008D2BBE"/>
    <w:rsid w:val="008D3811"/>
    <w:rsid w:val="008D67AC"/>
    <w:rsid w:val="008D7820"/>
    <w:rsid w:val="008D790F"/>
    <w:rsid w:val="008E0965"/>
    <w:rsid w:val="008E15DB"/>
    <w:rsid w:val="008E54FC"/>
    <w:rsid w:val="008E697C"/>
    <w:rsid w:val="008E7F2B"/>
    <w:rsid w:val="008F024A"/>
    <w:rsid w:val="008F191A"/>
    <w:rsid w:val="008F5968"/>
    <w:rsid w:val="008F6975"/>
    <w:rsid w:val="008F7F46"/>
    <w:rsid w:val="00903708"/>
    <w:rsid w:val="00903B32"/>
    <w:rsid w:val="00904048"/>
    <w:rsid w:val="009049B8"/>
    <w:rsid w:val="009049E6"/>
    <w:rsid w:val="00905575"/>
    <w:rsid w:val="0090588C"/>
    <w:rsid w:val="00906CE0"/>
    <w:rsid w:val="00912132"/>
    <w:rsid w:val="00913065"/>
    <w:rsid w:val="0091381A"/>
    <w:rsid w:val="0091384A"/>
    <w:rsid w:val="00917849"/>
    <w:rsid w:val="009210E1"/>
    <w:rsid w:val="00923B83"/>
    <w:rsid w:val="00925133"/>
    <w:rsid w:val="00925951"/>
    <w:rsid w:val="00927D1A"/>
    <w:rsid w:val="00932591"/>
    <w:rsid w:val="00933B75"/>
    <w:rsid w:val="00933C8F"/>
    <w:rsid w:val="00934B05"/>
    <w:rsid w:val="00934D55"/>
    <w:rsid w:val="009365EA"/>
    <w:rsid w:val="0093783E"/>
    <w:rsid w:val="009402C1"/>
    <w:rsid w:val="0094131E"/>
    <w:rsid w:val="00941654"/>
    <w:rsid w:val="00943777"/>
    <w:rsid w:val="009445C6"/>
    <w:rsid w:val="00944FBF"/>
    <w:rsid w:val="00951BC3"/>
    <w:rsid w:val="00951BD3"/>
    <w:rsid w:val="0095208B"/>
    <w:rsid w:val="009536B0"/>
    <w:rsid w:val="00953D9E"/>
    <w:rsid w:val="009543CE"/>
    <w:rsid w:val="00954537"/>
    <w:rsid w:val="00954B07"/>
    <w:rsid w:val="00960A97"/>
    <w:rsid w:val="00961EEE"/>
    <w:rsid w:val="0096236D"/>
    <w:rsid w:val="00964361"/>
    <w:rsid w:val="00965B6D"/>
    <w:rsid w:val="00967FDF"/>
    <w:rsid w:val="0097318F"/>
    <w:rsid w:val="00976242"/>
    <w:rsid w:val="00977AA2"/>
    <w:rsid w:val="00982CFE"/>
    <w:rsid w:val="00983F50"/>
    <w:rsid w:val="0098514D"/>
    <w:rsid w:val="00985524"/>
    <w:rsid w:val="00985678"/>
    <w:rsid w:val="009860DC"/>
    <w:rsid w:val="00986AA7"/>
    <w:rsid w:val="00986BA2"/>
    <w:rsid w:val="009903B5"/>
    <w:rsid w:val="00991D6C"/>
    <w:rsid w:val="009926FE"/>
    <w:rsid w:val="009A05A9"/>
    <w:rsid w:val="009A18A3"/>
    <w:rsid w:val="009A1FAB"/>
    <w:rsid w:val="009A2D96"/>
    <w:rsid w:val="009A3255"/>
    <w:rsid w:val="009A71F4"/>
    <w:rsid w:val="009A7EC5"/>
    <w:rsid w:val="009B0C63"/>
    <w:rsid w:val="009B29A7"/>
    <w:rsid w:val="009B6009"/>
    <w:rsid w:val="009B644C"/>
    <w:rsid w:val="009B73E5"/>
    <w:rsid w:val="009C0231"/>
    <w:rsid w:val="009C07D6"/>
    <w:rsid w:val="009C1795"/>
    <w:rsid w:val="009C2003"/>
    <w:rsid w:val="009C2540"/>
    <w:rsid w:val="009C6191"/>
    <w:rsid w:val="009C7A1A"/>
    <w:rsid w:val="009D3B57"/>
    <w:rsid w:val="009D4C8C"/>
    <w:rsid w:val="009E050B"/>
    <w:rsid w:val="009E10F5"/>
    <w:rsid w:val="009E6BC1"/>
    <w:rsid w:val="009F23F3"/>
    <w:rsid w:val="009F3FEB"/>
    <w:rsid w:val="009F52A4"/>
    <w:rsid w:val="009F6B33"/>
    <w:rsid w:val="00A028C9"/>
    <w:rsid w:val="00A0418E"/>
    <w:rsid w:val="00A04940"/>
    <w:rsid w:val="00A0635A"/>
    <w:rsid w:val="00A14748"/>
    <w:rsid w:val="00A16C91"/>
    <w:rsid w:val="00A16D9C"/>
    <w:rsid w:val="00A16DE9"/>
    <w:rsid w:val="00A214A6"/>
    <w:rsid w:val="00A23368"/>
    <w:rsid w:val="00A24B5A"/>
    <w:rsid w:val="00A26536"/>
    <w:rsid w:val="00A26AB2"/>
    <w:rsid w:val="00A319D5"/>
    <w:rsid w:val="00A330E0"/>
    <w:rsid w:val="00A33119"/>
    <w:rsid w:val="00A357CA"/>
    <w:rsid w:val="00A406BB"/>
    <w:rsid w:val="00A425A0"/>
    <w:rsid w:val="00A430DF"/>
    <w:rsid w:val="00A43810"/>
    <w:rsid w:val="00A44E5F"/>
    <w:rsid w:val="00A45758"/>
    <w:rsid w:val="00A45FC0"/>
    <w:rsid w:val="00A479C6"/>
    <w:rsid w:val="00A549A9"/>
    <w:rsid w:val="00A5585D"/>
    <w:rsid w:val="00A56378"/>
    <w:rsid w:val="00A56870"/>
    <w:rsid w:val="00A568C6"/>
    <w:rsid w:val="00A579E4"/>
    <w:rsid w:val="00A60951"/>
    <w:rsid w:val="00A60B5E"/>
    <w:rsid w:val="00A60CDA"/>
    <w:rsid w:val="00A6227A"/>
    <w:rsid w:val="00A62480"/>
    <w:rsid w:val="00A62EE6"/>
    <w:rsid w:val="00A63660"/>
    <w:rsid w:val="00A64E97"/>
    <w:rsid w:val="00A651E4"/>
    <w:rsid w:val="00A65A9D"/>
    <w:rsid w:val="00A66743"/>
    <w:rsid w:val="00A7011F"/>
    <w:rsid w:val="00A74751"/>
    <w:rsid w:val="00A76E98"/>
    <w:rsid w:val="00A8055D"/>
    <w:rsid w:val="00A82044"/>
    <w:rsid w:val="00A84878"/>
    <w:rsid w:val="00A84C7A"/>
    <w:rsid w:val="00A8790B"/>
    <w:rsid w:val="00A90793"/>
    <w:rsid w:val="00A95B1E"/>
    <w:rsid w:val="00A95EDE"/>
    <w:rsid w:val="00A97073"/>
    <w:rsid w:val="00AA17C7"/>
    <w:rsid w:val="00AA51AB"/>
    <w:rsid w:val="00AA5AD2"/>
    <w:rsid w:val="00AA705C"/>
    <w:rsid w:val="00AA70A8"/>
    <w:rsid w:val="00AB0D5F"/>
    <w:rsid w:val="00AB16DC"/>
    <w:rsid w:val="00AB24C5"/>
    <w:rsid w:val="00AB38E5"/>
    <w:rsid w:val="00AB3EF5"/>
    <w:rsid w:val="00AB52CE"/>
    <w:rsid w:val="00AB6051"/>
    <w:rsid w:val="00AB6962"/>
    <w:rsid w:val="00AC0930"/>
    <w:rsid w:val="00AC135D"/>
    <w:rsid w:val="00AC174D"/>
    <w:rsid w:val="00AC38A6"/>
    <w:rsid w:val="00AC5CC0"/>
    <w:rsid w:val="00AC5FBA"/>
    <w:rsid w:val="00AC6982"/>
    <w:rsid w:val="00AC6E6C"/>
    <w:rsid w:val="00AC6F23"/>
    <w:rsid w:val="00AD1CA6"/>
    <w:rsid w:val="00AD1D76"/>
    <w:rsid w:val="00AD4DCF"/>
    <w:rsid w:val="00AE01B4"/>
    <w:rsid w:val="00AE153E"/>
    <w:rsid w:val="00AE266C"/>
    <w:rsid w:val="00AE2F30"/>
    <w:rsid w:val="00AE77E8"/>
    <w:rsid w:val="00AE7F13"/>
    <w:rsid w:val="00AE7FF1"/>
    <w:rsid w:val="00AF18AC"/>
    <w:rsid w:val="00AF3204"/>
    <w:rsid w:val="00AF5965"/>
    <w:rsid w:val="00AF669B"/>
    <w:rsid w:val="00AF7E4F"/>
    <w:rsid w:val="00B01227"/>
    <w:rsid w:val="00B01CC0"/>
    <w:rsid w:val="00B02F6E"/>
    <w:rsid w:val="00B031CF"/>
    <w:rsid w:val="00B036DF"/>
    <w:rsid w:val="00B057AB"/>
    <w:rsid w:val="00B10410"/>
    <w:rsid w:val="00B13B16"/>
    <w:rsid w:val="00B13EB6"/>
    <w:rsid w:val="00B1477B"/>
    <w:rsid w:val="00B15690"/>
    <w:rsid w:val="00B17FBB"/>
    <w:rsid w:val="00B21646"/>
    <w:rsid w:val="00B23111"/>
    <w:rsid w:val="00B24CE0"/>
    <w:rsid w:val="00B3020C"/>
    <w:rsid w:val="00B30EAB"/>
    <w:rsid w:val="00B361B9"/>
    <w:rsid w:val="00B36FF8"/>
    <w:rsid w:val="00B37FFB"/>
    <w:rsid w:val="00B41A9E"/>
    <w:rsid w:val="00B41B21"/>
    <w:rsid w:val="00B4384B"/>
    <w:rsid w:val="00B45D89"/>
    <w:rsid w:val="00B46C5C"/>
    <w:rsid w:val="00B46D02"/>
    <w:rsid w:val="00B47878"/>
    <w:rsid w:val="00B47D73"/>
    <w:rsid w:val="00B47DD5"/>
    <w:rsid w:val="00B51BA9"/>
    <w:rsid w:val="00B53130"/>
    <w:rsid w:val="00B540E2"/>
    <w:rsid w:val="00B54731"/>
    <w:rsid w:val="00B55096"/>
    <w:rsid w:val="00B55ADD"/>
    <w:rsid w:val="00B579F6"/>
    <w:rsid w:val="00B62508"/>
    <w:rsid w:val="00B626BB"/>
    <w:rsid w:val="00B62E50"/>
    <w:rsid w:val="00B64D51"/>
    <w:rsid w:val="00B651CE"/>
    <w:rsid w:val="00B65779"/>
    <w:rsid w:val="00B65BD8"/>
    <w:rsid w:val="00B65C67"/>
    <w:rsid w:val="00B70F42"/>
    <w:rsid w:val="00B7244C"/>
    <w:rsid w:val="00B72910"/>
    <w:rsid w:val="00B73441"/>
    <w:rsid w:val="00B73A01"/>
    <w:rsid w:val="00B744FD"/>
    <w:rsid w:val="00B7642A"/>
    <w:rsid w:val="00B76FCF"/>
    <w:rsid w:val="00B77061"/>
    <w:rsid w:val="00B8163A"/>
    <w:rsid w:val="00B85A13"/>
    <w:rsid w:val="00B876F7"/>
    <w:rsid w:val="00B87989"/>
    <w:rsid w:val="00B87E27"/>
    <w:rsid w:val="00B90555"/>
    <w:rsid w:val="00B90F42"/>
    <w:rsid w:val="00B9659B"/>
    <w:rsid w:val="00B9731D"/>
    <w:rsid w:val="00B97AC7"/>
    <w:rsid w:val="00BA2D70"/>
    <w:rsid w:val="00BA56C9"/>
    <w:rsid w:val="00BA6A9B"/>
    <w:rsid w:val="00BB1A32"/>
    <w:rsid w:val="00BB58BA"/>
    <w:rsid w:val="00BB7629"/>
    <w:rsid w:val="00BC48B7"/>
    <w:rsid w:val="00BC4AA3"/>
    <w:rsid w:val="00BC5626"/>
    <w:rsid w:val="00BC58CE"/>
    <w:rsid w:val="00BC5AFC"/>
    <w:rsid w:val="00BD11CA"/>
    <w:rsid w:val="00BD1571"/>
    <w:rsid w:val="00BD1AB7"/>
    <w:rsid w:val="00BD2BD7"/>
    <w:rsid w:val="00BD763F"/>
    <w:rsid w:val="00BE140A"/>
    <w:rsid w:val="00BE194D"/>
    <w:rsid w:val="00BE31D1"/>
    <w:rsid w:val="00BE5619"/>
    <w:rsid w:val="00BE56D9"/>
    <w:rsid w:val="00BE6AD4"/>
    <w:rsid w:val="00BE7BDC"/>
    <w:rsid w:val="00BF14B3"/>
    <w:rsid w:val="00BF74B2"/>
    <w:rsid w:val="00BF797F"/>
    <w:rsid w:val="00BF7C9E"/>
    <w:rsid w:val="00C00325"/>
    <w:rsid w:val="00C00C52"/>
    <w:rsid w:val="00C01876"/>
    <w:rsid w:val="00C03FBE"/>
    <w:rsid w:val="00C05ED7"/>
    <w:rsid w:val="00C06D1F"/>
    <w:rsid w:val="00C07CE6"/>
    <w:rsid w:val="00C12ACC"/>
    <w:rsid w:val="00C12D80"/>
    <w:rsid w:val="00C14202"/>
    <w:rsid w:val="00C14EDF"/>
    <w:rsid w:val="00C1536A"/>
    <w:rsid w:val="00C217BE"/>
    <w:rsid w:val="00C2258F"/>
    <w:rsid w:val="00C24980"/>
    <w:rsid w:val="00C26761"/>
    <w:rsid w:val="00C270F2"/>
    <w:rsid w:val="00C27B85"/>
    <w:rsid w:val="00C311A1"/>
    <w:rsid w:val="00C31E65"/>
    <w:rsid w:val="00C34B22"/>
    <w:rsid w:val="00C35074"/>
    <w:rsid w:val="00C353E4"/>
    <w:rsid w:val="00C40290"/>
    <w:rsid w:val="00C415DC"/>
    <w:rsid w:val="00C41C9F"/>
    <w:rsid w:val="00C462BF"/>
    <w:rsid w:val="00C46519"/>
    <w:rsid w:val="00C46C89"/>
    <w:rsid w:val="00C47781"/>
    <w:rsid w:val="00C53067"/>
    <w:rsid w:val="00C54117"/>
    <w:rsid w:val="00C541BD"/>
    <w:rsid w:val="00C54247"/>
    <w:rsid w:val="00C55584"/>
    <w:rsid w:val="00C644F4"/>
    <w:rsid w:val="00C65F17"/>
    <w:rsid w:val="00C6686B"/>
    <w:rsid w:val="00C706F6"/>
    <w:rsid w:val="00C71387"/>
    <w:rsid w:val="00C713BF"/>
    <w:rsid w:val="00C72BAE"/>
    <w:rsid w:val="00C73A4B"/>
    <w:rsid w:val="00C73A82"/>
    <w:rsid w:val="00C75845"/>
    <w:rsid w:val="00C76A49"/>
    <w:rsid w:val="00C778C0"/>
    <w:rsid w:val="00C80F39"/>
    <w:rsid w:val="00C82121"/>
    <w:rsid w:val="00C82EC3"/>
    <w:rsid w:val="00C84714"/>
    <w:rsid w:val="00C84FB7"/>
    <w:rsid w:val="00C862B8"/>
    <w:rsid w:val="00C902CC"/>
    <w:rsid w:val="00C905E0"/>
    <w:rsid w:val="00C9128F"/>
    <w:rsid w:val="00CA067A"/>
    <w:rsid w:val="00CA33AF"/>
    <w:rsid w:val="00CA46D5"/>
    <w:rsid w:val="00CB0C5E"/>
    <w:rsid w:val="00CB496B"/>
    <w:rsid w:val="00CC0804"/>
    <w:rsid w:val="00CC0E43"/>
    <w:rsid w:val="00CC14C0"/>
    <w:rsid w:val="00CC1D7C"/>
    <w:rsid w:val="00CC2215"/>
    <w:rsid w:val="00CC3262"/>
    <w:rsid w:val="00CC5185"/>
    <w:rsid w:val="00CC53DB"/>
    <w:rsid w:val="00CC66FD"/>
    <w:rsid w:val="00CC6FE1"/>
    <w:rsid w:val="00CD1DE3"/>
    <w:rsid w:val="00CD31DC"/>
    <w:rsid w:val="00CD3D68"/>
    <w:rsid w:val="00CD517A"/>
    <w:rsid w:val="00CE014A"/>
    <w:rsid w:val="00CE0279"/>
    <w:rsid w:val="00CE24C3"/>
    <w:rsid w:val="00CE33AB"/>
    <w:rsid w:val="00CE47FE"/>
    <w:rsid w:val="00CE6211"/>
    <w:rsid w:val="00CF3603"/>
    <w:rsid w:val="00CF367A"/>
    <w:rsid w:val="00CF5D0C"/>
    <w:rsid w:val="00CF6190"/>
    <w:rsid w:val="00D00046"/>
    <w:rsid w:val="00D07D4D"/>
    <w:rsid w:val="00D102C8"/>
    <w:rsid w:val="00D10856"/>
    <w:rsid w:val="00D10ACC"/>
    <w:rsid w:val="00D151AB"/>
    <w:rsid w:val="00D17D33"/>
    <w:rsid w:val="00D21DC1"/>
    <w:rsid w:val="00D2339E"/>
    <w:rsid w:val="00D235A2"/>
    <w:rsid w:val="00D261AE"/>
    <w:rsid w:val="00D26AF3"/>
    <w:rsid w:val="00D310DD"/>
    <w:rsid w:val="00D32A53"/>
    <w:rsid w:val="00D32CA4"/>
    <w:rsid w:val="00D34CDA"/>
    <w:rsid w:val="00D3513C"/>
    <w:rsid w:val="00D35C6B"/>
    <w:rsid w:val="00D3776A"/>
    <w:rsid w:val="00D37B4E"/>
    <w:rsid w:val="00D41885"/>
    <w:rsid w:val="00D43541"/>
    <w:rsid w:val="00D43558"/>
    <w:rsid w:val="00D441AA"/>
    <w:rsid w:val="00D45214"/>
    <w:rsid w:val="00D4571D"/>
    <w:rsid w:val="00D4630E"/>
    <w:rsid w:val="00D52593"/>
    <w:rsid w:val="00D53569"/>
    <w:rsid w:val="00D537CC"/>
    <w:rsid w:val="00D56DA7"/>
    <w:rsid w:val="00D60001"/>
    <w:rsid w:val="00D6258D"/>
    <w:rsid w:val="00D644C7"/>
    <w:rsid w:val="00D64969"/>
    <w:rsid w:val="00D64C4C"/>
    <w:rsid w:val="00D6606A"/>
    <w:rsid w:val="00D665AE"/>
    <w:rsid w:val="00D66C5B"/>
    <w:rsid w:val="00D71226"/>
    <w:rsid w:val="00D7137C"/>
    <w:rsid w:val="00D765B8"/>
    <w:rsid w:val="00D814EA"/>
    <w:rsid w:val="00D8396F"/>
    <w:rsid w:val="00D843B3"/>
    <w:rsid w:val="00D84C8E"/>
    <w:rsid w:val="00D873EC"/>
    <w:rsid w:val="00D87AC5"/>
    <w:rsid w:val="00D904C1"/>
    <w:rsid w:val="00D91035"/>
    <w:rsid w:val="00D97F72"/>
    <w:rsid w:val="00D97FC7"/>
    <w:rsid w:val="00DA0048"/>
    <w:rsid w:val="00DA051F"/>
    <w:rsid w:val="00DA146B"/>
    <w:rsid w:val="00DA2A84"/>
    <w:rsid w:val="00DA2DCF"/>
    <w:rsid w:val="00DB0CFE"/>
    <w:rsid w:val="00DB0F43"/>
    <w:rsid w:val="00DB1950"/>
    <w:rsid w:val="00DB199D"/>
    <w:rsid w:val="00DC150C"/>
    <w:rsid w:val="00DC36BB"/>
    <w:rsid w:val="00DC45A0"/>
    <w:rsid w:val="00DC661D"/>
    <w:rsid w:val="00DC6BE8"/>
    <w:rsid w:val="00DC6D3F"/>
    <w:rsid w:val="00DC7289"/>
    <w:rsid w:val="00DD11F5"/>
    <w:rsid w:val="00DD202D"/>
    <w:rsid w:val="00DD25D3"/>
    <w:rsid w:val="00DD5887"/>
    <w:rsid w:val="00DD67A7"/>
    <w:rsid w:val="00DE078E"/>
    <w:rsid w:val="00DE0C10"/>
    <w:rsid w:val="00DE37E7"/>
    <w:rsid w:val="00DE39C1"/>
    <w:rsid w:val="00DE3EF6"/>
    <w:rsid w:val="00DE7F4F"/>
    <w:rsid w:val="00DF0196"/>
    <w:rsid w:val="00DF2006"/>
    <w:rsid w:val="00DF5585"/>
    <w:rsid w:val="00DF78AF"/>
    <w:rsid w:val="00E00859"/>
    <w:rsid w:val="00E03C6A"/>
    <w:rsid w:val="00E067E2"/>
    <w:rsid w:val="00E0683D"/>
    <w:rsid w:val="00E10587"/>
    <w:rsid w:val="00E1416E"/>
    <w:rsid w:val="00E1526E"/>
    <w:rsid w:val="00E15731"/>
    <w:rsid w:val="00E176FD"/>
    <w:rsid w:val="00E20436"/>
    <w:rsid w:val="00E208EE"/>
    <w:rsid w:val="00E21CE8"/>
    <w:rsid w:val="00E22398"/>
    <w:rsid w:val="00E3139C"/>
    <w:rsid w:val="00E33061"/>
    <w:rsid w:val="00E35708"/>
    <w:rsid w:val="00E35D4C"/>
    <w:rsid w:val="00E36BF8"/>
    <w:rsid w:val="00E37FF9"/>
    <w:rsid w:val="00E41C28"/>
    <w:rsid w:val="00E41C8C"/>
    <w:rsid w:val="00E42BA2"/>
    <w:rsid w:val="00E43974"/>
    <w:rsid w:val="00E448A8"/>
    <w:rsid w:val="00E46004"/>
    <w:rsid w:val="00E50A7E"/>
    <w:rsid w:val="00E50D16"/>
    <w:rsid w:val="00E53135"/>
    <w:rsid w:val="00E531FF"/>
    <w:rsid w:val="00E54F6E"/>
    <w:rsid w:val="00E57B52"/>
    <w:rsid w:val="00E57C64"/>
    <w:rsid w:val="00E604C6"/>
    <w:rsid w:val="00E6082A"/>
    <w:rsid w:val="00E65158"/>
    <w:rsid w:val="00E657E4"/>
    <w:rsid w:val="00E659D2"/>
    <w:rsid w:val="00E66E62"/>
    <w:rsid w:val="00E67020"/>
    <w:rsid w:val="00E71124"/>
    <w:rsid w:val="00E711B1"/>
    <w:rsid w:val="00E71C36"/>
    <w:rsid w:val="00E71CBD"/>
    <w:rsid w:val="00E74945"/>
    <w:rsid w:val="00E756CD"/>
    <w:rsid w:val="00E75F42"/>
    <w:rsid w:val="00E77D94"/>
    <w:rsid w:val="00E81209"/>
    <w:rsid w:val="00E81F98"/>
    <w:rsid w:val="00E8236F"/>
    <w:rsid w:val="00E90EB4"/>
    <w:rsid w:val="00E91529"/>
    <w:rsid w:val="00E928C1"/>
    <w:rsid w:val="00E941E0"/>
    <w:rsid w:val="00E96608"/>
    <w:rsid w:val="00E966A1"/>
    <w:rsid w:val="00EA1BD5"/>
    <w:rsid w:val="00EA2B30"/>
    <w:rsid w:val="00EA32AF"/>
    <w:rsid w:val="00EA4CFE"/>
    <w:rsid w:val="00EA5198"/>
    <w:rsid w:val="00EA5701"/>
    <w:rsid w:val="00EA5AD7"/>
    <w:rsid w:val="00EA6284"/>
    <w:rsid w:val="00EB0D43"/>
    <w:rsid w:val="00EB147C"/>
    <w:rsid w:val="00EB1DF5"/>
    <w:rsid w:val="00EB2575"/>
    <w:rsid w:val="00EB25EB"/>
    <w:rsid w:val="00EB4DDD"/>
    <w:rsid w:val="00EB566A"/>
    <w:rsid w:val="00EB777C"/>
    <w:rsid w:val="00EC0965"/>
    <w:rsid w:val="00EC0C15"/>
    <w:rsid w:val="00EC13C8"/>
    <w:rsid w:val="00EC22B6"/>
    <w:rsid w:val="00EC3601"/>
    <w:rsid w:val="00EC4BF4"/>
    <w:rsid w:val="00EC531C"/>
    <w:rsid w:val="00EC5787"/>
    <w:rsid w:val="00EC5922"/>
    <w:rsid w:val="00ED13A3"/>
    <w:rsid w:val="00ED20A7"/>
    <w:rsid w:val="00ED5CED"/>
    <w:rsid w:val="00ED778B"/>
    <w:rsid w:val="00EE2E2A"/>
    <w:rsid w:val="00EE31BA"/>
    <w:rsid w:val="00EE5F6F"/>
    <w:rsid w:val="00EE6D58"/>
    <w:rsid w:val="00EF06D1"/>
    <w:rsid w:val="00EF06FF"/>
    <w:rsid w:val="00EF0961"/>
    <w:rsid w:val="00EF3681"/>
    <w:rsid w:val="00EF5CDA"/>
    <w:rsid w:val="00EF6476"/>
    <w:rsid w:val="00F05718"/>
    <w:rsid w:val="00F07103"/>
    <w:rsid w:val="00F0764E"/>
    <w:rsid w:val="00F077D3"/>
    <w:rsid w:val="00F1015F"/>
    <w:rsid w:val="00F15AD3"/>
    <w:rsid w:val="00F16C8A"/>
    <w:rsid w:val="00F16F6A"/>
    <w:rsid w:val="00F17330"/>
    <w:rsid w:val="00F211FA"/>
    <w:rsid w:val="00F211FF"/>
    <w:rsid w:val="00F22B03"/>
    <w:rsid w:val="00F22BF3"/>
    <w:rsid w:val="00F22DFE"/>
    <w:rsid w:val="00F230F5"/>
    <w:rsid w:val="00F24E57"/>
    <w:rsid w:val="00F25600"/>
    <w:rsid w:val="00F26E13"/>
    <w:rsid w:val="00F27FDA"/>
    <w:rsid w:val="00F3043E"/>
    <w:rsid w:val="00F30444"/>
    <w:rsid w:val="00F30D01"/>
    <w:rsid w:val="00F3186C"/>
    <w:rsid w:val="00F3380C"/>
    <w:rsid w:val="00F36301"/>
    <w:rsid w:val="00F402A7"/>
    <w:rsid w:val="00F411B4"/>
    <w:rsid w:val="00F41A82"/>
    <w:rsid w:val="00F51002"/>
    <w:rsid w:val="00F521F3"/>
    <w:rsid w:val="00F52559"/>
    <w:rsid w:val="00F54D22"/>
    <w:rsid w:val="00F55458"/>
    <w:rsid w:val="00F56667"/>
    <w:rsid w:val="00F570C5"/>
    <w:rsid w:val="00F61D49"/>
    <w:rsid w:val="00F62818"/>
    <w:rsid w:val="00F62BB3"/>
    <w:rsid w:val="00F66933"/>
    <w:rsid w:val="00F70F63"/>
    <w:rsid w:val="00F72AF3"/>
    <w:rsid w:val="00F72FA1"/>
    <w:rsid w:val="00F7331B"/>
    <w:rsid w:val="00F74366"/>
    <w:rsid w:val="00F74985"/>
    <w:rsid w:val="00F830D6"/>
    <w:rsid w:val="00F83904"/>
    <w:rsid w:val="00F8460B"/>
    <w:rsid w:val="00F84A14"/>
    <w:rsid w:val="00F84C3F"/>
    <w:rsid w:val="00F90216"/>
    <w:rsid w:val="00F90782"/>
    <w:rsid w:val="00F93681"/>
    <w:rsid w:val="00F93A1B"/>
    <w:rsid w:val="00F95AB6"/>
    <w:rsid w:val="00F96AA4"/>
    <w:rsid w:val="00FA0D86"/>
    <w:rsid w:val="00FA0EEE"/>
    <w:rsid w:val="00FA1D60"/>
    <w:rsid w:val="00FA1DD4"/>
    <w:rsid w:val="00FA38EB"/>
    <w:rsid w:val="00FA3A8D"/>
    <w:rsid w:val="00FA5038"/>
    <w:rsid w:val="00FA541B"/>
    <w:rsid w:val="00FA56EF"/>
    <w:rsid w:val="00FA5838"/>
    <w:rsid w:val="00FA67AA"/>
    <w:rsid w:val="00FB11CA"/>
    <w:rsid w:val="00FB5B9A"/>
    <w:rsid w:val="00FB5FD6"/>
    <w:rsid w:val="00FB6310"/>
    <w:rsid w:val="00FB730C"/>
    <w:rsid w:val="00FC0783"/>
    <w:rsid w:val="00FC0ACB"/>
    <w:rsid w:val="00FC0EF8"/>
    <w:rsid w:val="00FC1247"/>
    <w:rsid w:val="00FC6E50"/>
    <w:rsid w:val="00FC7BA8"/>
    <w:rsid w:val="00FD325A"/>
    <w:rsid w:val="00FD5D28"/>
    <w:rsid w:val="00FD7873"/>
    <w:rsid w:val="00FE391D"/>
    <w:rsid w:val="00FE715F"/>
    <w:rsid w:val="00FE7D10"/>
    <w:rsid w:val="00FF1405"/>
    <w:rsid w:val="00FF1BA4"/>
    <w:rsid w:val="00FF27A5"/>
    <w:rsid w:val="00FF535D"/>
    <w:rsid w:val="00FF64FA"/>
    <w:rsid w:val="00FF7811"/>
    <w:rsid w:val="00FF79E9"/>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4A3F3"/>
  <w15:docId w15:val="{6C37DAED-95C6-4C91-86AC-4CD9A22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210E1"/>
    <w:rPr>
      <w:lang w:val="uk-UA"/>
    </w:rPr>
  </w:style>
  <w:style w:type="paragraph" w:styleId="3">
    <w:name w:val="heading 3"/>
    <w:basedOn w:val="a"/>
    <w:link w:val="30"/>
    <w:uiPriority w:val="9"/>
    <w:semiHidden/>
    <w:unhideWhenUsed/>
    <w:qFormat/>
    <w:rsid w:val="00752C79"/>
    <w:pPr>
      <w:keepNext/>
      <w:spacing w:before="240" w:after="60"/>
      <w:outlineLvl w:val="2"/>
    </w:pPr>
    <w:rPr>
      <w:rFonts w:ascii="Cambria" w:eastAsiaTheme="minorHAnsi"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210E1"/>
    <w:pPr>
      <w:jc w:val="both"/>
    </w:pPr>
    <w:rPr>
      <w:sz w:val="24"/>
    </w:rPr>
  </w:style>
  <w:style w:type="paragraph" w:styleId="2">
    <w:name w:val="Body Text Indent 2"/>
    <w:basedOn w:val="a"/>
    <w:link w:val="20"/>
    <w:rsid w:val="009210E1"/>
    <w:pPr>
      <w:ind w:firstLine="709"/>
      <w:jc w:val="both"/>
    </w:pPr>
    <w:rPr>
      <w:sz w:val="28"/>
    </w:rPr>
  </w:style>
  <w:style w:type="paragraph" w:styleId="31">
    <w:name w:val="Body Text 3"/>
    <w:basedOn w:val="a"/>
    <w:link w:val="32"/>
    <w:rsid w:val="009210E1"/>
    <w:pPr>
      <w:jc w:val="both"/>
    </w:pPr>
    <w:rPr>
      <w:sz w:val="28"/>
    </w:rPr>
  </w:style>
  <w:style w:type="paragraph" w:styleId="a5">
    <w:name w:val="header"/>
    <w:basedOn w:val="a"/>
    <w:rsid w:val="009210E1"/>
    <w:pPr>
      <w:tabs>
        <w:tab w:val="center" w:pos="4153"/>
        <w:tab w:val="right" w:pos="8306"/>
      </w:tabs>
    </w:pPr>
  </w:style>
  <w:style w:type="character" w:styleId="a6">
    <w:name w:val="page number"/>
    <w:basedOn w:val="a0"/>
    <w:rsid w:val="009210E1"/>
  </w:style>
  <w:style w:type="paragraph" w:styleId="a7">
    <w:name w:val="footer"/>
    <w:basedOn w:val="a"/>
    <w:link w:val="a8"/>
    <w:uiPriority w:val="99"/>
    <w:rsid w:val="009210E1"/>
    <w:pPr>
      <w:tabs>
        <w:tab w:val="center" w:pos="4677"/>
        <w:tab w:val="right" w:pos="9355"/>
      </w:tabs>
    </w:pPr>
  </w:style>
  <w:style w:type="paragraph" w:customStyle="1" w:styleId="a9">
    <w:name w:val="Знак Знак Знак Знак Знак Знак Знак Знак Знак Знак"/>
    <w:basedOn w:val="a"/>
    <w:rsid w:val="003A3171"/>
    <w:rPr>
      <w:rFonts w:ascii="Verdana" w:hAnsi="Verdana" w:cs="Verdana"/>
      <w:lang w:val="en-US" w:eastAsia="en-US"/>
    </w:rPr>
  </w:style>
  <w:style w:type="character" w:customStyle="1" w:styleId="aa">
    <w:name w:val="Альвіна Шлапак"/>
    <w:basedOn w:val="a0"/>
    <w:semiHidden/>
    <w:rsid w:val="00495B12"/>
    <w:rPr>
      <w:rFonts w:ascii="Arial" w:hAnsi="Arial" w:cs="Arial"/>
      <w:color w:val="auto"/>
      <w:sz w:val="20"/>
      <w:szCs w:val="20"/>
    </w:rPr>
  </w:style>
  <w:style w:type="character" w:customStyle="1" w:styleId="a4">
    <w:name w:val="Основний текст Знак"/>
    <w:basedOn w:val="a0"/>
    <w:link w:val="a3"/>
    <w:rsid w:val="00FC0783"/>
    <w:rPr>
      <w:sz w:val="24"/>
      <w:lang w:val="uk-UA"/>
    </w:rPr>
  </w:style>
  <w:style w:type="paragraph" w:styleId="ab">
    <w:name w:val="Balloon Text"/>
    <w:basedOn w:val="a"/>
    <w:link w:val="ac"/>
    <w:rsid w:val="00684E37"/>
    <w:rPr>
      <w:rFonts w:ascii="Tahoma" w:hAnsi="Tahoma" w:cs="Tahoma"/>
      <w:sz w:val="16"/>
      <w:szCs w:val="16"/>
    </w:rPr>
  </w:style>
  <w:style w:type="character" w:customStyle="1" w:styleId="ac">
    <w:name w:val="Текст у виносці Знак"/>
    <w:basedOn w:val="a0"/>
    <w:link w:val="ab"/>
    <w:rsid w:val="00684E37"/>
    <w:rPr>
      <w:rFonts w:ascii="Tahoma" w:hAnsi="Tahoma" w:cs="Tahoma"/>
      <w:sz w:val="16"/>
      <w:szCs w:val="16"/>
      <w:lang w:val="uk-UA"/>
    </w:rPr>
  </w:style>
  <w:style w:type="character" w:customStyle="1" w:styleId="20">
    <w:name w:val="Основний текст з відступом 2 Знак"/>
    <w:basedOn w:val="a0"/>
    <w:link w:val="2"/>
    <w:rsid w:val="000E5371"/>
    <w:rPr>
      <w:sz w:val="28"/>
      <w:lang w:val="uk-UA"/>
    </w:rPr>
  </w:style>
  <w:style w:type="paragraph" w:customStyle="1" w:styleId="ad">
    <w:name w:val="Абзац списка"/>
    <w:basedOn w:val="a"/>
    <w:uiPriority w:val="34"/>
    <w:qFormat/>
    <w:rsid w:val="00871B79"/>
    <w:pPr>
      <w:ind w:left="708"/>
    </w:pPr>
  </w:style>
  <w:style w:type="character" w:customStyle="1" w:styleId="32">
    <w:name w:val="Основний текст 3 Знак"/>
    <w:basedOn w:val="a0"/>
    <w:link w:val="31"/>
    <w:rsid w:val="00DC6D3F"/>
    <w:rPr>
      <w:sz w:val="28"/>
      <w:lang w:val="uk-UA"/>
    </w:rPr>
  </w:style>
  <w:style w:type="paragraph" w:styleId="ae">
    <w:name w:val="endnote text"/>
    <w:basedOn w:val="a"/>
    <w:link w:val="af"/>
    <w:rsid w:val="006A005F"/>
  </w:style>
  <w:style w:type="character" w:customStyle="1" w:styleId="af">
    <w:name w:val="Текст кінцевої виноски Знак"/>
    <w:basedOn w:val="a0"/>
    <w:link w:val="ae"/>
    <w:rsid w:val="006A005F"/>
    <w:rPr>
      <w:lang w:val="uk-UA"/>
    </w:rPr>
  </w:style>
  <w:style w:type="character" w:styleId="af0">
    <w:name w:val="endnote reference"/>
    <w:basedOn w:val="a0"/>
    <w:rsid w:val="006A005F"/>
    <w:rPr>
      <w:vertAlign w:val="superscript"/>
    </w:rPr>
  </w:style>
  <w:style w:type="paragraph" w:styleId="af1">
    <w:name w:val="footnote text"/>
    <w:basedOn w:val="a"/>
    <w:link w:val="af2"/>
    <w:rsid w:val="006A005F"/>
  </w:style>
  <w:style w:type="character" w:customStyle="1" w:styleId="af2">
    <w:name w:val="Текст виноски Знак"/>
    <w:basedOn w:val="a0"/>
    <w:link w:val="af1"/>
    <w:rsid w:val="006A005F"/>
    <w:rPr>
      <w:lang w:val="uk-UA"/>
    </w:rPr>
  </w:style>
  <w:style w:type="character" w:styleId="af3">
    <w:name w:val="footnote reference"/>
    <w:basedOn w:val="a0"/>
    <w:rsid w:val="006A005F"/>
    <w:rPr>
      <w:vertAlign w:val="superscript"/>
    </w:rPr>
  </w:style>
  <w:style w:type="character" w:customStyle="1" w:styleId="fontstyle20">
    <w:name w:val="fontstyle20"/>
    <w:rsid w:val="00032324"/>
    <w:rPr>
      <w:rFonts w:ascii="Times New Roman" w:hAnsi="Times New Roman" w:cs="Times New Roman" w:hint="default"/>
    </w:rPr>
  </w:style>
  <w:style w:type="paragraph" w:styleId="af4">
    <w:name w:val="List Paragraph"/>
    <w:basedOn w:val="a"/>
    <w:uiPriority w:val="99"/>
    <w:qFormat/>
    <w:rsid w:val="005B70AC"/>
    <w:pPr>
      <w:ind w:left="720"/>
      <w:contextualSpacing/>
    </w:pPr>
  </w:style>
  <w:style w:type="paragraph" w:customStyle="1" w:styleId="af5">
    <w:name w:val="Знак Знак Знак Знак Знак Знак Знак"/>
    <w:basedOn w:val="a"/>
    <w:rsid w:val="009049B8"/>
    <w:rPr>
      <w:rFonts w:ascii="Verdana" w:hAnsi="Verdana" w:cs="Verdana"/>
      <w:lang w:val="en-US" w:eastAsia="en-US"/>
    </w:rPr>
  </w:style>
  <w:style w:type="character" w:customStyle="1" w:styleId="a8">
    <w:name w:val="Нижній колонтитул Знак"/>
    <w:basedOn w:val="a0"/>
    <w:link w:val="a7"/>
    <w:uiPriority w:val="99"/>
    <w:rsid w:val="00C54247"/>
    <w:rPr>
      <w:lang w:val="uk-UA"/>
    </w:rPr>
  </w:style>
  <w:style w:type="character" w:customStyle="1" w:styleId="30">
    <w:name w:val="Заголовок 3 Знак"/>
    <w:basedOn w:val="a0"/>
    <w:link w:val="3"/>
    <w:uiPriority w:val="9"/>
    <w:semiHidden/>
    <w:rsid w:val="00752C79"/>
    <w:rPr>
      <w:rFonts w:ascii="Cambria" w:eastAsiaTheme="minorHAnsi" w:hAnsi="Cambria"/>
      <w:b/>
      <w:bCs/>
      <w:sz w:val="26"/>
      <w:szCs w:val="26"/>
      <w:lang w:val="uk-UA"/>
    </w:rPr>
  </w:style>
  <w:style w:type="table" w:styleId="af6">
    <w:name w:val="Table Grid"/>
    <w:basedOn w:val="a1"/>
    <w:rsid w:val="0075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65423">
      <w:bodyDiv w:val="1"/>
      <w:marLeft w:val="0"/>
      <w:marRight w:val="0"/>
      <w:marTop w:val="0"/>
      <w:marBottom w:val="0"/>
      <w:divBdr>
        <w:top w:val="none" w:sz="0" w:space="0" w:color="auto"/>
        <w:left w:val="none" w:sz="0" w:space="0" w:color="auto"/>
        <w:bottom w:val="none" w:sz="0" w:space="0" w:color="auto"/>
        <w:right w:val="none" w:sz="0" w:space="0" w:color="auto"/>
      </w:divBdr>
    </w:div>
    <w:div w:id="224797505">
      <w:bodyDiv w:val="1"/>
      <w:marLeft w:val="0"/>
      <w:marRight w:val="0"/>
      <w:marTop w:val="0"/>
      <w:marBottom w:val="0"/>
      <w:divBdr>
        <w:top w:val="none" w:sz="0" w:space="0" w:color="auto"/>
        <w:left w:val="none" w:sz="0" w:space="0" w:color="auto"/>
        <w:bottom w:val="none" w:sz="0" w:space="0" w:color="auto"/>
        <w:right w:val="none" w:sz="0" w:space="0" w:color="auto"/>
      </w:divBdr>
    </w:div>
    <w:div w:id="299383176">
      <w:bodyDiv w:val="1"/>
      <w:marLeft w:val="0"/>
      <w:marRight w:val="0"/>
      <w:marTop w:val="0"/>
      <w:marBottom w:val="0"/>
      <w:divBdr>
        <w:top w:val="none" w:sz="0" w:space="0" w:color="auto"/>
        <w:left w:val="none" w:sz="0" w:space="0" w:color="auto"/>
        <w:bottom w:val="none" w:sz="0" w:space="0" w:color="auto"/>
        <w:right w:val="none" w:sz="0" w:space="0" w:color="auto"/>
      </w:divBdr>
    </w:div>
    <w:div w:id="299846142">
      <w:bodyDiv w:val="1"/>
      <w:marLeft w:val="0"/>
      <w:marRight w:val="0"/>
      <w:marTop w:val="0"/>
      <w:marBottom w:val="0"/>
      <w:divBdr>
        <w:top w:val="none" w:sz="0" w:space="0" w:color="auto"/>
        <w:left w:val="none" w:sz="0" w:space="0" w:color="auto"/>
        <w:bottom w:val="none" w:sz="0" w:space="0" w:color="auto"/>
        <w:right w:val="none" w:sz="0" w:space="0" w:color="auto"/>
      </w:divBdr>
    </w:div>
    <w:div w:id="339087684">
      <w:bodyDiv w:val="1"/>
      <w:marLeft w:val="0"/>
      <w:marRight w:val="0"/>
      <w:marTop w:val="0"/>
      <w:marBottom w:val="0"/>
      <w:divBdr>
        <w:top w:val="none" w:sz="0" w:space="0" w:color="auto"/>
        <w:left w:val="none" w:sz="0" w:space="0" w:color="auto"/>
        <w:bottom w:val="none" w:sz="0" w:space="0" w:color="auto"/>
        <w:right w:val="none" w:sz="0" w:space="0" w:color="auto"/>
      </w:divBdr>
    </w:div>
    <w:div w:id="386414161">
      <w:bodyDiv w:val="1"/>
      <w:marLeft w:val="0"/>
      <w:marRight w:val="0"/>
      <w:marTop w:val="0"/>
      <w:marBottom w:val="0"/>
      <w:divBdr>
        <w:top w:val="none" w:sz="0" w:space="0" w:color="auto"/>
        <w:left w:val="none" w:sz="0" w:space="0" w:color="auto"/>
        <w:bottom w:val="none" w:sz="0" w:space="0" w:color="auto"/>
        <w:right w:val="none" w:sz="0" w:space="0" w:color="auto"/>
      </w:divBdr>
    </w:div>
    <w:div w:id="435441082">
      <w:bodyDiv w:val="1"/>
      <w:marLeft w:val="0"/>
      <w:marRight w:val="0"/>
      <w:marTop w:val="0"/>
      <w:marBottom w:val="0"/>
      <w:divBdr>
        <w:top w:val="none" w:sz="0" w:space="0" w:color="auto"/>
        <w:left w:val="none" w:sz="0" w:space="0" w:color="auto"/>
        <w:bottom w:val="none" w:sz="0" w:space="0" w:color="auto"/>
        <w:right w:val="none" w:sz="0" w:space="0" w:color="auto"/>
      </w:divBdr>
    </w:div>
    <w:div w:id="493231096">
      <w:bodyDiv w:val="1"/>
      <w:marLeft w:val="0"/>
      <w:marRight w:val="0"/>
      <w:marTop w:val="0"/>
      <w:marBottom w:val="0"/>
      <w:divBdr>
        <w:top w:val="none" w:sz="0" w:space="0" w:color="auto"/>
        <w:left w:val="none" w:sz="0" w:space="0" w:color="auto"/>
        <w:bottom w:val="none" w:sz="0" w:space="0" w:color="auto"/>
        <w:right w:val="none" w:sz="0" w:space="0" w:color="auto"/>
      </w:divBdr>
    </w:div>
    <w:div w:id="498472779">
      <w:bodyDiv w:val="1"/>
      <w:marLeft w:val="0"/>
      <w:marRight w:val="0"/>
      <w:marTop w:val="0"/>
      <w:marBottom w:val="0"/>
      <w:divBdr>
        <w:top w:val="none" w:sz="0" w:space="0" w:color="auto"/>
        <w:left w:val="none" w:sz="0" w:space="0" w:color="auto"/>
        <w:bottom w:val="none" w:sz="0" w:space="0" w:color="auto"/>
        <w:right w:val="none" w:sz="0" w:space="0" w:color="auto"/>
      </w:divBdr>
    </w:div>
    <w:div w:id="593393782">
      <w:bodyDiv w:val="1"/>
      <w:marLeft w:val="0"/>
      <w:marRight w:val="0"/>
      <w:marTop w:val="0"/>
      <w:marBottom w:val="0"/>
      <w:divBdr>
        <w:top w:val="none" w:sz="0" w:space="0" w:color="auto"/>
        <w:left w:val="none" w:sz="0" w:space="0" w:color="auto"/>
        <w:bottom w:val="none" w:sz="0" w:space="0" w:color="auto"/>
        <w:right w:val="none" w:sz="0" w:space="0" w:color="auto"/>
      </w:divBdr>
    </w:div>
    <w:div w:id="643314610">
      <w:bodyDiv w:val="1"/>
      <w:marLeft w:val="0"/>
      <w:marRight w:val="0"/>
      <w:marTop w:val="0"/>
      <w:marBottom w:val="0"/>
      <w:divBdr>
        <w:top w:val="none" w:sz="0" w:space="0" w:color="auto"/>
        <w:left w:val="none" w:sz="0" w:space="0" w:color="auto"/>
        <w:bottom w:val="none" w:sz="0" w:space="0" w:color="auto"/>
        <w:right w:val="none" w:sz="0" w:space="0" w:color="auto"/>
      </w:divBdr>
    </w:div>
    <w:div w:id="647175514">
      <w:bodyDiv w:val="1"/>
      <w:marLeft w:val="0"/>
      <w:marRight w:val="0"/>
      <w:marTop w:val="0"/>
      <w:marBottom w:val="0"/>
      <w:divBdr>
        <w:top w:val="none" w:sz="0" w:space="0" w:color="auto"/>
        <w:left w:val="none" w:sz="0" w:space="0" w:color="auto"/>
        <w:bottom w:val="none" w:sz="0" w:space="0" w:color="auto"/>
        <w:right w:val="none" w:sz="0" w:space="0" w:color="auto"/>
      </w:divBdr>
    </w:div>
    <w:div w:id="794060307">
      <w:bodyDiv w:val="1"/>
      <w:marLeft w:val="0"/>
      <w:marRight w:val="0"/>
      <w:marTop w:val="0"/>
      <w:marBottom w:val="0"/>
      <w:divBdr>
        <w:top w:val="none" w:sz="0" w:space="0" w:color="auto"/>
        <w:left w:val="none" w:sz="0" w:space="0" w:color="auto"/>
        <w:bottom w:val="none" w:sz="0" w:space="0" w:color="auto"/>
        <w:right w:val="none" w:sz="0" w:space="0" w:color="auto"/>
      </w:divBdr>
    </w:div>
    <w:div w:id="855071457">
      <w:bodyDiv w:val="1"/>
      <w:marLeft w:val="0"/>
      <w:marRight w:val="0"/>
      <w:marTop w:val="0"/>
      <w:marBottom w:val="0"/>
      <w:divBdr>
        <w:top w:val="none" w:sz="0" w:space="0" w:color="auto"/>
        <w:left w:val="none" w:sz="0" w:space="0" w:color="auto"/>
        <w:bottom w:val="none" w:sz="0" w:space="0" w:color="auto"/>
        <w:right w:val="none" w:sz="0" w:space="0" w:color="auto"/>
      </w:divBdr>
    </w:div>
    <w:div w:id="894394618">
      <w:bodyDiv w:val="1"/>
      <w:marLeft w:val="0"/>
      <w:marRight w:val="0"/>
      <w:marTop w:val="0"/>
      <w:marBottom w:val="0"/>
      <w:divBdr>
        <w:top w:val="none" w:sz="0" w:space="0" w:color="auto"/>
        <w:left w:val="none" w:sz="0" w:space="0" w:color="auto"/>
        <w:bottom w:val="none" w:sz="0" w:space="0" w:color="auto"/>
        <w:right w:val="none" w:sz="0" w:space="0" w:color="auto"/>
      </w:divBdr>
    </w:div>
    <w:div w:id="954795667">
      <w:bodyDiv w:val="1"/>
      <w:marLeft w:val="0"/>
      <w:marRight w:val="0"/>
      <w:marTop w:val="0"/>
      <w:marBottom w:val="0"/>
      <w:divBdr>
        <w:top w:val="none" w:sz="0" w:space="0" w:color="auto"/>
        <w:left w:val="none" w:sz="0" w:space="0" w:color="auto"/>
        <w:bottom w:val="none" w:sz="0" w:space="0" w:color="auto"/>
        <w:right w:val="none" w:sz="0" w:space="0" w:color="auto"/>
      </w:divBdr>
    </w:div>
    <w:div w:id="974332168">
      <w:bodyDiv w:val="1"/>
      <w:marLeft w:val="0"/>
      <w:marRight w:val="0"/>
      <w:marTop w:val="0"/>
      <w:marBottom w:val="0"/>
      <w:divBdr>
        <w:top w:val="none" w:sz="0" w:space="0" w:color="auto"/>
        <w:left w:val="none" w:sz="0" w:space="0" w:color="auto"/>
        <w:bottom w:val="none" w:sz="0" w:space="0" w:color="auto"/>
        <w:right w:val="none" w:sz="0" w:space="0" w:color="auto"/>
      </w:divBdr>
    </w:div>
    <w:div w:id="994181870">
      <w:bodyDiv w:val="1"/>
      <w:marLeft w:val="0"/>
      <w:marRight w:val="0"/>
      <w:marTop w:val="0"/>
      <w:marBottom w:val="0"/>
      <w:divBdr>
        <w:top w:val="none" w:sz="0" w:space="0" w:color="auto"/>
        <w:left w:val="none" w:sz="0" w:space="0" w:color="auto"/>
        <w:bottom w:val="none" w:sz="0" w:space="0" w:color="auto"/>
        <w:right w:val="none" w:sz="0" w:space="0" w:color="auto"/>
      </w:divBdr>
    </w:div>
    <w:div w:id="1055154523">
      <w:bodyDiv w:val="1"/>
      <w:marLeft w:val="0"/>
      <w:marRight w:val="0"/>
      <w:marTop w:val="0"/>
      <w:marBottom w:val="0"/>
      <w:divBdr>
        <w:top w:val="none" w:sz="0" w:space="0" w:color="auto"/>
        <w:left w:val="none" w:sz="0" w:space="0" w:color="auto"/>
        <w:bottom w:val="none" w:sz="0" w:space="0" w:color="auto"/>
        <w:right w:val="none" w:sz="0" w:space="0" w:color="auto"/>
      </w:divBdr>
    </w:div>
    <w:div w:id="1115365216">
      <w:bodyDiv w:val="1"/>
      <w:marLeft w:val="0"/>
      <w:marRight w:val="0"/>
      <w:marTop w:val="0"/>
      <w:marBottom w:val="0"/>
      <w:divBdr>
        <w:top w:val="none" w:sz="0" w:space="0" w:color="auto"/>
        <w:left w:val="none" w:sz="0" w:space="0" w:color="auto"/>
        <w:bottom w:val="none" w:sz="0" w:space="0" w:color="auto"/>
        <w:right w:val="none" w:sz="0" w:space="0" w:color="auto"/>
      </w:divBdr>
    </w:div>
    <w:div w:id="1139877850">
      <w:bodyDiv w:val="1"/>
      <w:marLeft w:val="0"/>
      <w:marRight w:val="0"/>
      <w:marTop w:val="0"/>
      <w:marBottom w:val="0"/>
      <w:divBdr>
        <w:top w:val="none" w:sz="0" w:space="0" w:color="auto"/>
        <w:left w:val="none" w:sz="0" w:space="0" w:color="auto"/>
        <w:bottom w:val="none" w:sz="0" w:space="0" w:color="auto"/>
        <w:right w:val="none" w:sz="0" w:space="0" w:color="auto"/>
      </w:divBdr>
    </w:div>
    <w:div w:id="1154882072">
      <w:bodyDiv w:val="1"/>
      <w:marLeft w:val="0"/>
      <w:marRight w:val="0"/>
      <w:marTop w:val="0"/>
      <w:marBottom w:val="0"/>
      <w:divBdr>
        <w:top w:val="none" w:sz="0" w:space="0" w:color="auto"/>
        <w:left w:val="none" w:sz="0" w:space="0" w:color="auto"/>
        <w:bottom w:val="none" w:sz="0" w:space="0" w:color="auto"/>
        <w:right w:val="none" w:sz="0" w:space="0" w:color="auto"/>
      </w:divBdr>
    </w:div>
    <w:div w:id="1172180573">
      <w:bodyDiv w:val="1"/>
      <w:marLeft w:val="0"/>
      <w:marRight w:val="0"/>
      <w:marTop w:val="0"/>
      <w:marBottom w:val="0"/>
      <w:divBdr>
        <w:top w:val="none" w:sz="0" w:space="0" w:color="auto"/>
        <w:left w:val="none" w:sz="0" w:space="0" w:color="auto"/>
        <w:bottom w:val="none" w:sz="0" w:space="0" w:color="auto"/>
        <w:right w:val="none" w:sz="0" w:space="0" w:color="auto"/>
      </w:divBdr>
    </w:div>
    <w:div w:id="1289239609">
      <w:bodyDiv w:val="1"/>
      <w:marLeft w:val="0"/>
      <w:marRight w:val="0"/>
      <w:marTop w:val="0"/>
      <w:marBottom w:val="0"/>
      <w:divBdr>
        <w:top w:val="none" w:sz="0" w:space="0" w:color="auto"/>
        <w:left w:val="none" w:sz="0" w:space="0" w:color="auto"/>
        <w:bottom w:val="none" w:sz="0" w:space="0" w:color="auto"/>
        <w:right w:val="none" w:sz="0" w:space="0" w:color="auto"/>
      </w:divBdr>
    </w:div>
    <w:div w:id="1333337522">
      <w:bodyDiv w:val="1"/>
      <w:marLeft w:val="0"/>
      <w:marRight w:val="0"/>
      <w:marTop w:val="0"/>
      <w:marBottom w:val="0"/>
      <w:divBdr>
        <w:top w:val="none" w:sz="0" w:space="0" w:color="auto"/>
        <w:left w:val="none" w:sz="0" w:space="0" w:color="auto"/>
        <w:bottom w:val="none" w:sz="0" w:space="0" w:color="auto"/>
        <w:right w:val="none" w:sz="0" w:space="0" w:color="auto"/>
      </w:divBdr>
    </w:div>
    <w:div w:id="1390688740">
      <w:bodyDiv w:val="1"/>
      <w:marLeft w:val="0"/>
      <w:marRight w:val="0"/>
      <w:marTop w:val="0"/>
      <w:marBottom w:val="0"/>
      <w:divBdr>
        <w:top w:val="none" w:sz="0" w:space="0" w:color="auto"/>
        <w:left w:val="none" w:sz="0" w:space="0" w:color="auto"/>
        <w:bottom w:val="none" w:sz="0" w:space="0" w:color="auto"/>
        <w:right w:val="none" w:sz="0" w:space="0" w:color="auto"/>
      </w:divBdr>
    </w:div>
    <w:div w:id="1432241390">
      <w:bodyDiv w:val="1"/>
      <w:marLeft w:val="0"/>
      <w:marRight w:val="0"/>
      <w:marTop w:val="0"/>
      <w:marBottom w:val="0"/>
      <w:divBdr>
        <w:top w:val="none" w:sz="0" w:space="0" w:color="auto"/>
        <w:left w:val="none" w:sz="0" w:space="0" w:color="auto"/>
        <w:bottom w:val="none" w:sz="0" w:space="0" w:color="auto"/>
        <w:right w:val="none" w:sz="0" w:space="0" w:color="auto"/>
      </w:divBdr>
    </w:div>
    <w:div w:id="1444692343">
      <w:bodyDiv w:val="1"/>
      <w:marLeft w:val="0"/>
      <w:marRight w:val="0"/>
      <w:marTop w:val="0"/>
      <w:marBottom w:val="0"/>
      <w:divBdr>
        <w:top w:val="none" w:sz="0" w:space="0" w:color="auto"/>
        <w:left w:val="none" w:sz="0" w:space="0" w:color="auto"/>
        <w:bottom w:val="none" w:sz="0" w:space="0" w:color="auto"/>
        <w:right w:val="none" w:sz="0" w:space="0" w:color="auto"/>
      </w:divBdr>
    </w:div>
    <w:div w:id="1570651133">
      <w:bodyDiv w:val="1"/>
      <w:marLeft w:val="0"/>
      <w:marRight w:val="0"/>
      <w:marTop w:val="0"/>
      <w:marBottom w:val="0"/>
      <w:divBdr>
        <w:top w:val="none" w:sz="0" w:space="0" w:color="auto"/>
        <w:left w:val="none" w:sz="0" w:space="0" w:color="auto"/>
        <w:bottom w:val="none" w:sz="0" w:space="0" w:color="auto"/>
        <w:right w:val="none" w:sz="0" w:space="0" w:color="auto"/>
      </w:divBdr>
    </w:div>
    <w:div w:id="1600791603">
      <w:bodyDiv w:val="1"/>
      <w:marLeft w:val="0"/>
      <w:marRight w:val="0"/>
      <w:marTop w:val="0"/>
      <w:marBottom w:val="0"/>
      <w:divBdr>
        <w:top w:val="none" w:sz="0" w:space="0" w:color="auto"/>
        <w:left w:val="none" w:sz="0" w:space="0" w:color="auto"/>
        <w:bottom w:val="none" w:sz="0" w:space="0" w:color="auto"/>
        <w:right w:val="none" w:sz="0" w:space="0" w:color="auto"/>
      </w:divBdr>
    </w:div>
    <w:div w:id="1612972682">
      <w:bodyDiv w:val="1"/>
      <w:marLeft w:val="0"/>
      <w:marRight w:val="0"/>
      <w:marTop w:val="0"/>
      <w:marBottom w:val="0"/>
      <w:divBdr>
        <w:top w:val="none" w:sz="0" w:space="0" w:color="auto"/>
        <w:left w:val="none" w:sz="0" w:space="0" w:color="auto"/>
        <w:bottom w:val="none" w:sz="0" w:space="0" w:color="auto"/>
        <w:right w:val="none" w:sz="0" w:space="0" w:color="auto"/>
      </w:divBdr>
    </w:div>
    <w:div w:id="1675838794">
      <w:bodyDiv w:val="1"/>
      <w:marLeft w:val="0"/>
      <w:marRight w:val="0"/>
      <w:marTop w:val="0"/>
      <w:marBottom w:val="0"/>
      <w:divBdr>
        <w:top w:val="none" w:sz="0" w:space="0" w:color="auto"/>
        <w:left w:val="none" w:sz="0" w:space="0" w:color="auto"/>
        <w:bottom w:val="none" w:sz="0" w:space="0" w:color="auto"/>
        <w:right w:val="none" w:sz="0" w:space="0" w:color="auto"/>
      </w:divBdr>
    </w:div>
    <w:div w:id="1687561247">
      <w:bodyDiv w:val="1"/>
      <w:marLeft w:val="0"/>
      <w:marRight w:val="0"/>
      <w:marTop w:val="0"/>
      <w:marBottom w:val="0"/>
      <w:divBdr>
        <w:top w:val="none" w:sz="0" w:space="0" w:color="auto"/>
        <w:left w:val="none" w:sz="0" w:space="0" w:color="auto"/>
        <w:bottom w:val="none" w:sz="0" w:space="0" w:color="auto"/>
        <w:right w:val="none" w:sz="0" w:space="0" w:color="auto"/>
      </w:divBdr>
    </w:div>
    <w:div w:id="1706443066">
      <w:bodyDiv w:val="1"/>
      <w:marLeft w:val="0"/>
      <w:marRight w:val="0"/>
      <w:marTop w:val="0"/>
      <w:marBottom w:val="0"/>
      <w:divBdr>
        <w:top w:val="none" w:sz="0" w:space="0" w:color="auto"/>
        <w:left w:val="none" w:sz="0" w:space="0" w:color="auto"/>
        <w:bottom w:val="none" w:sz="0" w:space="0" w:color="auto"/>
        <w:right w:val="none" w:sz="0" w:space="0" w:color="auto"/>
      </w:divBdr>
    </w:div>
    <w:div w:id="1746993836">
      <w:bodyDiv w:val="1"/>
      <w:marLeft w:val="0"/>
      <w:marRight w:val="0"/>
      <w:marTop w:val="0"/>
      <w:marBottom w:val="0"/>
      <w:divBdr>
        <w:top w:val="none" w:sz="0" w:space="0" w:color="auto"/>
        <w:left w:val="none" w:sz="0" w:space="0" w:color="auto"/>
        <w:bottom w:val="none" w:sz="0" w:space="0" w:color="auto"/>
        <w:right w:val="none" w:sz="0" w:space="0" w:color="auto"/>
      </w:divBdr>
    </w:div>
    <w:div w:id="1824468703">
      <w:bodyDiv w:val="1"/>
      <w:marLeft w:val="0"/>
      <w:marRight w:val="0"/>
      <w:marTop w:val="0"/>
      <w:marBottom w:val="0"/>
      <w:divBdr>
        <w:top w:val="none" w:sz="0" w:space="0" w:color="auto"/>
        <w:left w:val="none" w:sz="0" w:space="0" w:color="auto"/>
        <w:bottom w:val="none" w:sz="0" w:space="0" w:color="auto"/>
        <w:right w:val="none" w:sz="0" w:space="0" w:color="auto"/>
      </w:divBdr>
    </w:div>
    <w:div w:id="1907521554">
      <w:bodyDiv w:val="1"/>
      <w:marLeft w:val="0"/>
      <w:marRight w:val="0"/>
      <w:marTop w:val="0"/>
      <w:marBottom w:val="0"/>
      <w:divBdr>
        <w:top w:val="none" w:sz="0" w:space="0" w:color="auto"/>
        <w:left w:val="none" w:sz="0" w:space="0" w:color="auto"/>
        <w:bottom w:val="none" w:sz="0" w:space="0" w:color="auto"/>
        <w:right w:val="none" w:sz="0" w:space="0" w:color="auto"/>
      </w:divBdr>
    </w:div>
    <w:div w:id="2047556643">
      <w:bodyDiv w:val="1"/>
      <w:marLeft w:val="0"/>
      <w:marRight w:val="0"/>
      <w:marTop w:val="0"/>
      <w:marBottom w:val="0"/>
      <w:divBdr>
        <w:top w:val="none" w:sz="0" w:space="0" w:color="auto"/>
        <w:left w:val="none" w:sz="0" w:space="0" w:color="auto"/>
        <w:bottom w:val="none" w:sz="0" w:space="0" w:color="auto"/>
        <w:right w:val="none" w:sz="0" w:space="0" w:color="auto"/>
      </w:divBdr>
    </w:div>
    <w:div w:id="2053192497">
      <w:bodyDiv w:val="1"/>
      <w:marLeft w:val="0"/>
      <w:marRight w:val="0"/>
      <w:marTop w:val="0"/>
      <w:marBottom w:val="0"/>
      <w:divBdr>
        <w:top w:val="none" w:sz="0" w:space="0" w:color="auto"/>
        <w:left w:val="none" w:sz="0" w:space="0" w:color="auto"/>
        <w:bottom w:val="none" w:sz="0" w:space="0" w:color="auto"/>
        <w:right w:val="none" w:sz="0" w:space="0" w:color="auto"/>
      </w:divBdr>
    </w:div>
    <w:div w:id="20757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53D5-51F4-4D9C-A0F0-F002EBEE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1311</Words>
  <Characters>8408</Characters>
  <Application>Microsoft Office Word</Application>
  <DocSecurity>0</DocSecurity>
  <Lines>168</Lines>
  <Paragraphs>54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Інформація про стан виконання</vt:lpstr>
      <vt:lpstr>Інформація про стан виконання</vt:lpstr>
      <vt:lpstr>Інформація про стан виконання</vt:lpstr>
    </vt:vector>
  </TitlesOfParts>
  <Company>Міністерство фінансів України</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 про стан виконання</dc:title>
  <dc:creator>Администратор</dc:creator>
  <cp:lastModifiedBy>Admin</cp:lastModifiedBy>
  <cp:revision>9</cp:revision>
  <cp:lastPrinted>2018-05-08T06:04:00Z</cp:lastPrinted>
  <dcterms:created xsi:type="dcterms:W3CDTF">2018-05-14T16:54:00Z</dcterms:created>
  <dcterms:modified xsi:type="dcterms:W3CDTF">2018-05-14T18:46:00Z</dcterms:modified>
</cp:coreProperties>
</file>